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Hormones act on target glands or tissuesand influence cellular activity, growth and maturation.</w:t>
      </w:r>
    </w:p>
    <w:p>
      <w:pPr/>
      <w:r>
        <w:rPr>
          <w:shd w:val="clear" w:fill="eeee80"/>
        </w:rPr>
        <w:t xml:space="preserve">The lecture describes endocrine control as slower but more precisethan nervous-system control.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2026-10-25T18:07:20+00:00</dcterms:created>
  <dcterms:modified xsi:type="dcterms:W3CDTF">2026-10-25T18:07:20+00:00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