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الكفاية فيما يخص الخطابات الشفاهية قال " هل الخطابات الشفاهية مثل: (يا أيها المؤمنون) تختص بالحاضر مجلس التخاطب،</w:t>
      </w:r>
    </w:p>
    <w:p>
      <w:pPr/>
      <w:r>
        <w:rPr>
          <w:shd w:val="clear" w:fill="eeee80"/>
        </w:rPr>
        <w:t xml:space="preserve"> ولابد قبل الخوض في تحقيق المقام ،</w:t>
      </w:r>
    </w:p>
    <w:p>
      <w:pPr/>
      <w:r>
        <w:rPr>
          <w:shd w:val="clear" w:fill="eeee80"/>
        </w:rPr>
        <w:t xml:space="preserve"> من بيان ما يمكن أن يكون محلا للنقض والابرام بين الاعلام .</w:t>
      </w:r>
    </w:p>
    <w:p>
      <w:pPr/>
      <w:r>
        <w:rPr>
          <w:shd w:val="clear" w:fill="eeee80"/>
        </w:rPr>
        <w:t xml:space="preserve"> فاعلم أنه يمكن أن يكون النزاع في أن التكليف المتكفل له الخطاب هل يصح تعلقه بالمعدومين ،</w:t>
      </w:r>
    </w:p>
    <w:p>
      <w:pPr/>
      <w:r>
        <w:rPr>
          <w:shd w:val="clear" w:fill="eeee80"/>
        </w:rPr>
        <w:t xml:space="preserve"> كما صح تعلقه بالموجودين ،</w:t>
      </w:r>
    </w:p>
    <w:p>
      <w:pPr/>
      <w:r>
        <w:rPr>
          <w:shd w:val="clear" w:fill="eeee80"/>
        </w:rPr>
        <w:t xml:space="preserve"> أم لا ؟ أو في صحة المخاطبة معهم ،</w:t>
      </w:r>
    </w:p>
    <w:p>
      <w:pPr/>
      <w:r>
        <w:rPr>
          <w:shd w:val="clear" w:fill="eeee80"/>
        </w:rPr>
        <w:t xml:space="preserve"> بل مع الغائبين عن مجلس الخطاب بالألفاظ الموضوعة  للخطاب ،</w:t>
      </w:r>
    </w:p>
    <w:p>
      <w:pPr/>
      <w:r>
        <w:rPr>
          <w:shd w:val="clear" w:fill="eeee80"/>
        </w:rPr>
        <w:t xml:space="preserve"> أو بنفس توجيه الكلام إليهم ،</w:t>
      </w:r>
    </w:p>
    <w:p>
      <w:pPr/>
      <w:r>
        <w:rPr>
          <w:shd w:val="clear" w:fill="eeee80"/>
        </w:rPr>
        <w:t xml:space="preserve"> أو في عموم الألفاظ الواقعة عقيب أداة الخطاب ،</w:t>
      </w:r>
    </w:p>
    <w:p>
      <w:pPr/>
      <w:r>
        <w:rPr>
          <w:shd w:val="clear" w:fill="eeee80"/>
        </w:rPr>
        <w:t xml:space="preserve">ولا يخفى أن النزاع على الوجهين الأولين يكون عقليا ،</w:t>
      </w:r>
    </w:p>
    <w:p>
      <w:pPr/>
      <w:r>
        <w:rPr>
          <w:shd w:val="clear" w:fill="eeee80"/>
        </w:rPr>
        <w:t xml:space="preserve"> وعلى الوجه الأخير لغويا .</w:t>
      </w:r>
    </w:p>
    <w:p>
      <w:pPr/>
      <w:r>
        <w:rPr>
          <w:shd w:val="clear" w:fill="eeee80"/>
        </w:rPr>
        <w:t xml:space="preserve"> فلا ريب في عدم صحة تكليف المعدوم عقلا ،</w:t>
      </w:r>
    </w:p>
    <w:p>
      <w:pPr/>
      <w:r>
        <w:rPr>
          <w:shd w:val="clear" w:fill="eeee80"/>
        </w:rPr>
        <w:t xml:space="preserve"> بمعنى بعثه أو زجره فعلا ،</w:t>
      </w:r>
    </w:p>
    <w:p>
      <w:pPr/>
      <w:r>
        <w:rPr>
          <w:shd w:val="clear" w:fill="eeee80"/>
        </w:rPr>
        <w:t xml:space="preserve"> ضرورة أنه بهذا المعنى يستلزم الطلب منه حقيقة ،</w:t>
      </w:r>
    </w:p>
    <w:p>
      <w:pPr/>
      <w:r>
        <w:rPr>
          <w:shd w:val="clear" w:fill="eeee80"/>
        </w:rPr>
        <w:t xml:space="preserve"> ولا يكاد يكون الطلب كذلك إلا من الموجود ضرورة ،</w:t>
      </w:r>
    </w:p>
    <w:p>
      <w:pPr/>
      <w:r>
        <w:rPr>
          <w:shd w:val="clear" w:fill="eeee80"/>
        </w:rPr>
        <w:t xml:space="preserve"> نعم هو بمعنى إنشاء الطلب بلا بعث ولا زجر ،</w:t>
      </w:r>
    </w:p>
    <w:p>
      <w:pPr/>
      <w:r>
        <w:rPr>
          <w:shd w:val="clear" w:fill="eeee80"/>
        </w:rPr>
        <w:t xml:space="preserve"> فإن الانشاء خفيف المؤونة ،</w:t>
      </w:r>
    </w:p>
    <w:p>
      <w:pPr/>
      <w:r>
        <w:rPr/>
        <w:t xml:space="preserve"> فالحكيم تبارك وتعالى ينشئ على وفق الحكمة والمصلحة ،</w:t>
      </w:r>
    </w:p>
    <w:p>
      <w:pPr/>
      <w:r>
        <w:rPr>
          <w:shd w:val="clear" w:fill="eeee80"/>
        </w:rPr>
        <w:t xml:space="preserve"> طلب شيء قانونا من الموجود والمعدوم حين الخطاب ،</w:t>
      </w:r>
    </w:p>
    <w:p>
      <w:pPr/>
      <w:r>
        <w:rPr>
          <w:shd w:val="clear" w:fill="eeee80"/>
        </w:rPr>
        <w:t xml:space="preserve"> ليصير فعليا بعد ما وجد الشرائط وفقد الموانع بلا حاجة إلى إنشاء آخر ،</w:t>
      </w:r>
    </w:p>
    <w:p>
      <w:pPr/>
      <w:r>
        <w:rPr>
          <w:shd w:val="clear" w:fill="eeee80"/>
        </w:rPr>
        <w:t xml:space="preserve">ونظيره من غير الطلب إنشاء التمليك في الوقف على البطون ،</w:t>
      </w:r>
    </w:p>
    <w:p>
      <w:pPr/>
      <w:r>
        <w:rPr>
          <w:shd w:val="clear" w:fill="eeee80"/>
        </w:rPr>
        <w:t xml:space="preserve"> فإن المعدوم منهم يصير مالكا للعين الموقوفة ،</w:t>
      </w:r>
    </w:p>
    <w:p>
      <w:pPr/>
      <w:r>
        <w:rPr>
          <w:shd w:val="clear" w:fill="eeee80"/>
        </w:rPr>
        <w:t xml:space="preserve"> بعد وجوده بإنشائه ،</w:t>
      </w:r>
    </w:p>
    <w:p>
      <w:pPr/>
      <w:r>
        <w:rPr/>
        <w:t xml:space="preserve"> ويتلقى لها من الواقف بعقده ،</w:t>
      </w:r>
    </w:p>
    <w:p>
      <w:pPr/>
      <w:r>
        <w:rPr>
          <w:shd w:val="clear" w:fill="eeee80"/>
        </w:rPr>
        <w:t xml:space="preserve"> فيؤثر في حق الموجود منهم الملكية الفعلية ،</w:t>
      </w:r>
    </w:p>
    <w:p>
      <w:pPr/>
      <w:r>
        <w:rPr>
          <w:shd w:val="clear" w:fill="eeee80"/>
        </w:rPr>
        <w:t xml:space="preserve"> إلا استعدادها لان تصير ملكا له بعد وجوده ،</w:t>
      </w:r>
    </w:p>
    <w:p>
      <w:pPr/>
      <w:r>
        <w:rPr/>
        <w:t xml:space="preserve"> هذا إذا أنشئ الطلب مطلقا .</w:t>
      </w:r>
    </w:p>
    <w:p>
      <w:pPr/>
      <w:r>
        <w:rPr>
          <w:shd w:val="clear" w:fill="eeee80"/>
        </w:rPr>
        <w:t xml:space="preserve">وأما إذا أنشئ مقيدا بوجود المكلف ووجد انه الشرائط ،</w:t>
      </w:r>
    </w:p>
    <w:p>
      <w:pPr/>
      <w:r>
        <w:rPr>
          <w:shd w:val="clear" w:fill="eeee80"/>
        </w:rPr>
        <w:t xml:space="preserve"> وكذلك لا ريب في عدم صحة خطاب المعدوم بل الغائب حقيقة ،</w:t>
      </w:r>
    </w:p>
    <w:p>
      <w:pPr/>
      <w:r>
        <w:rPr>
          <w:shd w:val="clear" w:fill="eeee80"/>
        </w:rPr>
        <w:t xml:space="preserve"> ضرورة عدم تحقق توجيه الكلام نحو الغير حقيقة إلا إذا كان موجودا ،</w:t>
      </w:r>
    </w:p>
    <w:p>
      <w:pPr/>
      <w:r>
        <w:rPr>
          <w:shd w:val="clear" w:fill="eeee80"/>
        </w:rPr>
        <w:t xml:space="preserve"> وكان بحيث يتوجه إلى الكلام ،</w:t>
      </w:r>
    </w:p>
    <w:p>
      <w:pPr/>
      <w:r>
        <w:rPr>
          <w:shd w:val="clear" w:fill="eeee80"/>
        </w:rPr>
        <w:t xml:space="preserve">وارتأى السيد الروحاني في المنتقى الآتي بقوله " وقع الكلام في الخطابات الشفاهية في أنها هل تختص بالحاضر مجلس التخاطب أو تعم غيره من الغائبين والمعدومين؟ وقد ذكر صاحب الكفاية ان الكلام يمكن ان يقع في جهات ثلاثة:</w:t>
      </w:r>
    </w:p>
    <w:p>
      <w:pPr/>
      <w:r>
        <w:rPr>
          <w:shd w:val="clear" w:fill="eeee80"/>
        </w:rPr>
        <w:t xml:space="preserve">الأولى: في صحة تعلق التكليف - الذي يشتمل عليه الخطاب - بالمعدومين</w:t>
      </w:r>
    </w:p>
    <w:p>
      <w:pPr/>
      <w:r>
        <w:rPr>
          <w:shd w:val="clear" w:fill="eeee80"/>
        </w:rPr>
        <w:t xml:space="preserve">كما يصح تعلقه بالموجودين.</w:t>
      </w:r>
    </w:p>
    <w:p>
      <w:pPr/>
      <w:r>
        <w:rPr>
          <w:shd w:val="clear" w:fill="eeee80"/>
        </w:rPr>
        <w:t xml:space="preserve">الثانية : في صحة مخاطبة غير الحاضرين من الغائبين والمعدومين .</w:t>
      </w:r>
    </w:p>
    <w:p>
      <w:pPr/>
      <w:r>
        <w:rPr>
          <w:shd w:val="clear" w:fill="eeee80"/>
        </w:rPr>
        <w:t xml:space="preserve">الثالثة : في عموم الألفاظ الواقعة عقيب أداة الخطاب لغير الحاضرين من</w:t>
      </w:r>
    </w:p>
    <w:p>
      <w:pPr/>
      <w:r>
        <w:rPr/>
        <w:t xml:space="preserve"> وعدم عمومها لهم بقرينة الأداة .وذكر ان النزاع في الجهتين الأوليتين عقلي وفي الثالثة لغوي .</w:t>
      </w:r>
    </w:p>
    <w:p>
      <w:pPr/>
      <w:r>
        <w:rPr>
          <w:shd w:val="clear" w:fill="eeee80"/>
        </w:rPr>
        <w:t xml:space="preserve">اما الجهة الأولى : فقد أفاد في مقام تحقيقها انه لا يصح تعلق التكليف الفعلي بالمعدوم عقلا ،</w:t>
      </w:r>
    </w:p>
    <w:p>
      <w:pPr/>
      <w:r>
        <w:rPr>
          <w:shd w:val="clear" w:fill="eeee80"/>
        </w:rPr>
        <w:t xml:space="preserve"> بمعنى بعثه أو زجره فعلا ،</w:t>
      </w:r>
    </w:p>
    <w:p>
      <w:pPr/>
      <w:r>
        <w:rPr>
          <w:shd w:val="clear" w:fill="eeee80"/>
        </w:rPr>
        <w:t xml:space="preserve"> لعدم قابلية المعدوم للانبعاث أو الانزجار فعلا ،</w:t>
      </w:r>
    </w:p>
    <w:p>
      <w:pPr/>
      <w:r>
        <w:rPr>
          <w:shd w:val="clear" w:fill="eeee80"/>
        </w:rPr>
        <w:t xml:space="preserve"> نعم يصح تعلق التكليف به بنحوين :</w:t>
      </w:r>
    </w:p>
    <w:p>
      <w:pPr/>
      <w:r>
        <w:rPr>
          <w:shd w:val="clear" w:fill="eeee80"/>
        </w:rPr>
        <w:t xml:space="preserve">أحدهما : التكليف الانشائي غير المشتمل على البعث والزجر ،</w:t>
      </w:r>
    </w:p>
    <w:p>
      <w:pPr/>
      <w:r>
        <w:rPr>
          <w:shd w:val="clear" w:fill="eeee80"/>
        </w:rPr>
        <w:t xml:space="preserve"> فإنه خفيف المؤنة ولا مانع من تعلقه بالمعدوم فيصيرا فعليا حين تحقق شرائطه .</w:t>
      </w:r>
    </w:p>
    <w:p>
      <w:pPr/>
      <w:r>
        <w:rPr>
          <w:shd w:val="clear" w:fill="eeee80"/>
        </w:rPr>
        <w:t xml:space="preserve"> وهذا نظير انشاء الملكية في باب الوقف للبطون اللاحقة لتصير فعلية حين وجودها بنفس الانشاء السابق .</w:t>
      </w:r>
    </w:p>
    <w:p>
      <w:pPr/>
      <w:r>
        <w:rPr>
          <w:shd w:val="clear" w:fill="eeee80"/>
        </w:rPr>
        <w:t xml:space="preserve">وثانيهما : ان يتعلق به التكليف الفعلي بقيد الوجود ،</w:t>
      </w:r>
    </w:p>
    <w:p>
      <w:pPr/>
      <w:r>
        <w:rPr>
          <w:shd w:val="clear" w:fill="eeee80"/>
        </w:rPr>
        <w:t xml:space="preserve"> بمعنى ان يتعلق التكليف الفعلي بالموجود الاستقبالي بهذا القيد ،</w:t>
      </w:r>
    </w:p>
    <w:p>
      <w:pPr/>
      <w:r>
        <w:rPr>
          <w:shd w:val="clear" w:fill="eeee80"/>
        </w:rPr>
        <w:t xml:space="preserve"> نظير الواجب المعلق ،</w:t>
      </w:r>
    </w:p>
    <w:p>
      <w:pPr/>
      <w:r>
        <w:rPr>
          <w:shd w:val="clear" w:fill="eeee80"/>
        </w:rPr>
        <w:t xml:space="preserve"> لكنه ههنا بالنسبة إلى الموضوع لا المتعلق .</w:t>
      </w:r>
    </w:p>
    <w:p>
      <w:pPr/>
      <w:r>
        <w:rPr>
          <w:shd w:val="clear" w:fill="eeee80"/>
        </w:rPr>
        <w:t xml:space="preserve">ومن هنا يظهر انه لا وجه لإشكال المحقق الأصفهاني على صاحب الكفاية بأنه يصح تعلق التكليف بأمر استقبالي،</w:t>
      </w:r>
    </w:p>
    <w:p>
      <w:pPr/>
      <w:r>
        <w:rPr>
          <w:shd w:val="clear" w:fill="eeee80"/>
        </w:rPr>
        <w:t xml:space="preserve"> وانه لا فرق بين تعلق التكيف بما لا يمكن تحققه الا في الاستقبال - كما هو مورد الواجب المعلق - وتعلقه بما لا يوجد الا في المستقبل فإنه غفلة عن تعرض صاحب الكفاية له وإرادته من قوله: " واما إذا أنشئ مقيدا بوجود المكلف ووجد انه الشرائط فإمكانه بمكان من الامكان ".</w:t>
      </w:r>
    </w:p>
    <w:p>
      <w:pPr/>
      <w:r>
        <w:rPr>
          <w:shd w:val="clear" w:fill="eeee80"/>
        </w:rPr>
        <w:t xml:space="preserve">واما الجهة الثانية: فقد ذكر أنه لا يصح توجيه الخطاب الحقيقي إلى غير الحاضر،</w:t>
      </w:r>
    </w:p>
    <w:p>
      <w:pPr/>
      <w:r>
        <w:rPr>
          <w:shd w:val="clear" w:fill="eeee80"/>
        </w:rPr>
        <w:t xml:space="preserve"> لأجل التقوم الخطاب الحقيقي بالتفات المخاطب،</w:t>
      </w:r>
    </w:p>
    <w:p>
      <w:pPr/>
      <w:r>
        <w:rPr>
          <w:shd w:val="clear" w:fill="eeee80"/>
        </w:rPr>
        <w:t xml:space="preserve">"( ) </w:t>
      </w:r>
    </w:p>
    <w:p>
      <w:pPr/>
      <w:r>
        <w:rPr/>
        <w:t xml:space="preserve">وقد أورد عليه السيد الخوئي تبعا للمحقق الأصفهاني بأنه لا يكفي في صحة خطاب المعدوم والغائب تنزيلهما منزلة الموجود،</w:t>
      </w:r>
    </w:p>
    <w:p>
      <w:pPr/>
      <w:r>
        <w:rPr>
          <w:shd w:val="clear" w:fill="eeee80"/>
        </w:rPr>
        <w:t xml:space="preserve"> بل يعتبر تنزيلهما منزلة الحاضر وهو أمر زائد على مقتضى القضية الحقيقية،</w:t>
      </w:r>
    </w:p>
    <w:p>
      <w:pPr/>
      <w:r>
        <w:rPr>
          <w:shd w:val="clear" w:fill="eeee80"/>
        </w:rPr>
        <w:t xml:space="preserve"> ( )</w:t>
      </w:r>
    </w:p>
    <w:p>
      <w:pPr/>
      <w:r>
        <w:rPr>
          <w:shd w:val="clear" w:fill="eeee80"/>
        </w:rPr>
        <w:t xml:space="preserve">** والنتيجة أن كلام الشيخ الآخوند (قد) هو المعتمد عندنا وهو عدم الأخذ ببناء العقلاء في العمل بالعام قبل الفحص ولا ينهض أمام الأدلة المذكورة،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2026-08-28T12:45:00+00:00</dcterms:created>
  <dcterms:modified xsi:type="dcterms:W3CDTF">2026-08-28T12:45:00+00:00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