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وعليه تكون خاضعة لعدم النفاذ الجوازي جميع األعمال التي يقوم بها التاجر خالل فترة</w:t>
      </w:r>
    </w:p>
    <w:p>
      <w:pPr/>
      <w:r>
        <w:rPr/>
        <w:t xml:space="preserve">الريبة كعقود البيع التي يجريها المفلس،</w:t>
      </w:r>
    </w:p>
    <w:p>
      <w:pPr/>
      <w:r>
        <w:rPr>
          <w:shd w:val="clear" w:fill="eeee80"/>
        </w:rPr>
        <w:t xml:space="preserve"> على أن يكون من تعاقد مع المفلس عالما بتوقفه عن </w:t>
      </w:r>
    </w:p>
    <w:p>
      <w:pPr/>
      <w:r>
        <w:rPr>
          <w:shd w:val="clear" w:fill="eeee80"/>
        </w:rPr>
        <w:t xml:space="preserve">الدفع باعتبار أن عدم النفاذ في هذه الحالة أمر جوازي فللمحكمة السلطة الواسعة للحكم بعدم </w:t>
      </w:r>
    </w:p>
    <w:p>
      <w:pPr/>
      <w:r>
        <w:rPr>
          <w:shd w:val="clear" w:fill="eeee80"/>
        </w:rPr>
        <w:t xml:space="preserve">1 نفاذه،</w:t>
      </w:r>
    </w:p>
    <w:p>
      <w:pPr/>
      <w:r>
        <w:rPr/>
        <w:t xml:space="preserve"> أما عقود البيع التي يجريها التاجر خالل فترة الريبة</w:t>
      </w:r>
    </w:p>
    <w:p>
      <w:pPr/>
      <w:r>
        <w:rPr>
          <w:shd w:val="clear" w:fill="eeee80"/>
        </w:rPr>
        <w:t xml:space="preserve">كما يجوز أيضا الحكم بعدم نفاذ عقود اإليجار سواء أكان المفلس مؤجرا أو مستأجرا</w:t>
      </w:r>
    </w:p>
    <w:p>
      <w:pPr/>
      <w:r>
        <w:rPr>
          <w:shd w:val="clear" w:fill="eeee80"/>
        </w:rPr>
        <w:t xml:space="preserve">ونفس الشيء يطبق كذلك على تقديم حصة إلى شركة متى وقع ذلك خالل فترة الريبة و لو نشأ</w:t>
      </w:r>
    </w:p>
    <w:p>
      <w:pPr/>
      <w:r>
        <w:rPr>
          <w:shd w:val="clear" w:fill="eeee80"/>
        </w:rPr>
        <w:t xml:space="preserve">2 التزام المفلس بتقديمها قبل هذه الفترة</w:t>
      </w:r>
    </w:p>
    <w:p>
      <w:pPr/>
      <w:r>
        <w:rPr>
          <w:shd w:val="clear" w:fill="eeee80"/>
        </w:rPr>
        <w:t xml:space="preserve">أما فيما يتعلق باآلثار المترتبة عن هذه التصرفات فهي تتمثل في الحكم بعدم نفاذها في </w:t>
      </w:r>
    </w:p>
    <w:p>
      <w:pPr/>
      <w:r>
        <w:rPr>
          <w:shd w:val="clear" w:fill="eeee80"/>
        </w:rPr>
        <w:t xml:space="preserve">حق جماعة الدائنين،</w:t>
      </w:r>
    </w:p>
    <w:p>
      <w:pPr/>
      <w:r>
        <w:rPr>
          <w:shd w:val="clear" w:fill="eeee80"/>
        </w:rPr>
        <w:t xml:space="preserve"> ويلتزم المتصرف إليه بأن يرد إلى التفليسة ما حصل عليه من المفلس </w:t>
      </w:r>
    </w:p>
    <w:p>
      <w:pPr/>
      <w:r>
        <w:rPr/>
        <w:t xml:space="preserve">بمقتضى هذا التصرف أو قيمة الشيء،</w:t>
      </w:r>
    </w:p>
    <w:p>
      <w:pPr/>
      <w:r>
        <w:rPr>
          <w:shd w:val="clear" w:fill="eeee80"/>
        </w:rPr>
        <w:t xml:space="preserve"> كما يلزم بدفع عوائد ما قبضه أو ثماره من تاريخ القبض </w:t>
      </w:r>
    </w:p>
    <w:p>
      <w:pPr/>
      <w:r>
        <w:rPr>
          <w:shd w:val="clear" w:fill="eeee80"/>
        </w:rPr>
        <w:t xml:space="preserve">والدائن الذي رد المبلغ ينضم إلى التفليسة.</w:t>
      </w:r>
    </w:p>
    <w:p>
      <w:pPr/>
      <w:r>
        <w:rPr>
          <w:shd w:val="clear" w:fill="eeee80"/>
        </w:rPr>
        <w:t xml:space="preserve">أما إذا كان التصرف بيعا فإن الشيء المبيع يسترده الوكيل المتصرف القضائي و يدرجه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2026-10-19T22:29:37+00:00</dcterms:created>
  <dcterms:modified xsi:type="dcterms:W3CDTF">2026-10-19T22:29:37+00:00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