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يستجيب إلكترون ذو كتلة m عند وضعه في بلورة للحقول المطبقة كما لو كانت كتلته m*.</w:t>
      </w:r>
    </w:p>
    <w:p>
      <w:pPr/>
      <w:r>
        <w:rPr>
          <w:shd w:val="clear" w:fill="eeee80"/>
        </w:rPr>
        <w:t xml:space="preserve">قد يكون للإلكترون المفرد في نطاق طاقة كتلة فعّالة موجبة أو سالبة: تحدث حالات الكتلة الفعّالة الموجبة بالقرب من أسفل النطاق لأن الكتلة الفعّالة الموجبة تعني أن النطاق به انحناء صاعد.</w:t>
      </w:r>
    </w:p>
    <w:p>
      <w:pPr/>
      <w:r>
        <w:rPr/>
        <w:t xml:space="preserve"> تحدث حالات الكتلة الفعّالة السالبة بالقرب من أعلى النطاق.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2026-10-19T05:31:43+00:00</dcterms:created>
  <dcterms:modified xsi:type="dcterms:W3CDTF">2026-10-19T05:31:43+00:00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