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‏بيان حقوق ولاية الأمور على الأمة بالادلة من الكتاب والسنة وبيان ما يترتب على الإخلال بذلك</w:t>
      </w:r>
    </w:p>
    <w:p>
      <w:pPr/>
      <w:r>
        <w:rPr>
          <w:shd w:val="clear" w:fill="eeee80"/>
        </w:rPr>
        <w:t xml:space="preserve">‏الحمد لله رب العالمين والعاقبة للمتقين والصلاة والسلام على نبيه ورسوله وخليل وأمينة على نبينا وامامنا وسيدنا محمد بن عبدالله وعلى آله وأصحابه ومن سلك سبيله وأهدى بهداه إلى يوم الدين أما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2026-10-12T10:38:04+00:00</dcterms:created>
  <dcterms:modified xsi:type="dcterms:W3CDTF">2026-10-12T10:38:04+00:00</dcterms:modified>
</cp:coreProperties>
</file>

<file path=docProps/custom.xml><?xml version="1.0" encoding="utf-8"?>
<Properties xmlns="http://schemas.openxmlformats.org/officeDocument/2006/custom-properties" xmlns:vt="http://schemas.openxmlformats.org/officeDocument/2006/docPropsVTypes"/>
</file>