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يوجد الحديد عادة في الحالة الحديدية (Fe 3+) في ظل الظروف الفسيولوجية.</w:t>
      </w:r>
    </w:p>
    <w:p>
      <w:pPr/>
      <w:r>
        <w:rPr>
          <w:shd w:val="clear" w:fill="eeee80"/>
        </w:rPr>
        <w:t xml:space="preserve"> ومن المؤسف أن أملاح الحديد شديدة التأثر بالتحلل المائي عند درجة حموضة محايدة لإعطاء هيدروكسيد حديد غير قابل للذوبان،</w:t>
      </w:r>
    </w:p>
    <w:p>
      <w:pPr/>
      <w:r>
        <w:rPr>
          <w:shd w:val="clear" w:fill="eeee80"/>
        </w:rPr>
        <w:t xml:space="preserve"> وبالتالي يجب الحفاظ على تركيز التوازن لأيون Fe 3+ الحر في السوائل الفسيولوجية أقل من 2.</w:t>
      </w:r>
    </w:p>
    <w:p>
      <w:pPr/>
      <w:r>
        <w:rPr/>
        <w:t xml:space="preserve">5 × 10-18M. ومع ذلك،</w:t>
      </w:r>
    </w:p>
    <w:p>
      <w:pPr/>
      <w:r>
        <w:rPr>
          <w:shd w:val="clear" w:fill="eeee80"/>
        </w:rPr>
        <w:t xml:space="preserve"> نظرًا لأن معدل دوران الحديد في الهيموجلوبين يوميًا عند الإنسان يبلغ حوالي 30 مجم (= 5.</w:t>
      </w:r>
    </w:p>
    <w:p>
      <w:pPr/>
      <w:r>
        <w:rPr/>
        <w:t xml:space="preserve">4 × 10-4M)، فإن الحاجة إلى بروتين عالي الألفة يرتبط بالحديد، وهو الترانسفيرين، واضحة. في المصل،</w:t>
      </w:r>
    </w:p>
    <w:p>
      <w:pPr/>
      <w:r>
        <w:rPr>
          <w:shd w:val="clear" w:fill="eeee80"/>
        </w:rPr>
        <w:t xml:space="preserve"> يكون الترانسفيرين مشبعًا بنسبة 30% فقط بحيث يكون لديه القدرة على ربط الحديد الزائد،</w:t>
      </w:r>
    </w:p>
    <w:p>
      <w:pPr/>
      <w:r>
        <w:rPr/>
        <w:t xml:space="preserve"> وبالتالي المساعدة في التحكم في تراكم كميات سامة من الحديد الزائد. بالإضافة إلى ذلك،</w:t>
      </w:r>
    </w:p>
    <w:p>
      <w:pPr/>
      <w:r>
        <w:rPr>
          <w:shd w:val="clear" w:fill="eeee80"/>
        </w:rPr>
        <w:t xml:space="preserve"> قد يكون وجود قدرة كامنة على ربط الحديد من الترانسفيرين مفيدًا أيضًا في الدفاع ضد العدوى.</w:t>
      </w:r>
    </w:p>
    <w:p>
      <w:pPr/>
      <w:r>
        <w:rPr>
          <w:shd w:val="clear" w:fill="eeee80"/>
        </w:rPr>
        <w:t xml:space="preserve"> ولعل الدور الأكثر أهمية الذي يلعبه الترانسفيرين هو نقل الحديد بين مواقع الامتصاص (مثل الخلايا المخاطية المعوية)،</w:t>
      </w:r>
    </w:p>
    <w:p>
      <w:pPr/>
      <w:r>
        <w:rPr/>
        <w:t xml:space="preserve"> ومواقع الاستخدام (مثل الخلايا الكريات الحمراء غير الناضجة)، ومواقع التخزين (مثل الكبد) ومواقع تحلل الهيموجلوبين. وفي القيام بذلك،</w:t>
      </w:r>
    </w:p>
    <w:p>
      <w:pPr/>
      <w:r>
        <w:rPr>
          <w:shd w:val="clear" w:fill="eeee80"/>
        </w:rPr>
        <w:t xml:space="preserve"> يلعب الترانسفيرين دورًا حيويًا ومركزيًا في عملية التمثيل الغذائي للحديد (انظر الشكل 3).</w:t>
      </w:r>
    </w:p>
    <w:p>
      <w:pPr/>
      <w:r>
        <w:rPr>
          <w:shd w:val="clear" w:fill="eeee80"/>
        </w:rPr>
        <w:t xml:space="preserve"> وهو جزيء ناقل حقيقي لأنه محفوظ لعدة دورات من نقل الحديد في تفاعله مع الأنسجة المستهدفة.</w:t>
      </w:r>
    </w:p>
    <w:p>
      <w:pPr/>
      <w:r>
        <w:rPr>
          <w:shd w:val="clear" w:fill="eeee80"/>
        </w:rPr>
        <w:t xml:space="preserve"> وله عمر نصف طويل نسبيًا يتراوح بين 8 و10 أيام في الجسم الحي.</w:t>
      </w:r>
    </w:p>
    <w:p>
      <w:pPr/>
      <w:r>
        <w:rPr/>
        <w:t xml:space="preserve">وفي الآونة الأخيرة،</w:t>
      </w:r>
    </w:p>
    <w:p>
      <w:pPr/>
      <w:r>
        <w:rPr>
          <w:shd w:val="clear" w:fill="eeee80"/>
        </w:rPr>
        <w:t xml:space="preserve"> تم الإبلاغ عن أن الترانسفيرين قد يلعب أيضًا دورًا في نقل الزنك (II)،</w:t>
      </w:r>
    </w:p>
    <w:p>
      <w:pPr/>
      <w:r>
        <w:rPr/>
        <w:t xml:space="preserve"> 28 وأن الألومنيوم في البلازما، عندما يرتبط بالترانسفيرين،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2026-09-17T06:24:45+00:00</dcterms:created>
  <dcterms:modified xsi:type="dcterms:W3CDTF">2026-09-17T06:24:45+00:00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