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يشمل موضوع هذا البحث كيفية المعالجة المحاسبية للمخزونات في ظل النظام المحاسبي المالي (SCP)،</w:t>
      </w:r>
    </w:p>
    <w:p>
      <w:pPr/>
      <w:r>
        <w:rPr>
          <w:shd w:val="clear" w:fill="eeee80"/>
        </w:rPr>
        <w:t xml:space="preserve"> فالمخزونات من أهم أصول المنشاة سواء كانت تجارية،</w:t>
      </w:r>
    </w:p>
    <w:p>
      <w:pPr/>
      <w:r>
        <w:rPr>
          <w:shd w:val="clear" w:fill="eeee80"/>
        </w:rPr>
        <w:t xml:space="preserve"> صناعية أو خدماتية وعليه يتوجب على المؤسسة اختيار طرق وأساليب المعالجة المحاسبية للمخزونات تتناسب مع طبيعة المؤسسة من أجل التأكيد الحصول على قوائم مالية ذات مصداقية وشفافية حيث يعتبر النظام المحاسبي المالي كادة األساسية تستند عليها المؤسسات من أجل انتاج قوائم مالية مفهومة وواسعة لجميع مستصليها ومن خلال تطبيق النظام المحاسبي المالي وتوفير احسن الطرق والأساليب في المعالجة المحاسبية المخزونات يمكن المحاسبة المخزونات من حيث التسجيل أن شاهم في الحصول على قوائم مالية للوضعية المالية للمؤسسة بصورة واضحة وتسهل مقارنتها.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2026-10-15T04:27:30+00:00</dcterms:created>
  <dcterms:modified xsi:type="dcterms:W3CDTF">2026-10-15T04:27:30+00:00</dcterms:modified>
</cp:coreProperties>
</file>

<file path=docProps/custom.xml><?xml version="1.0" encoding="utf-8"?>
<Properties xmlns="http://schemas.openxmlformats.org/officeDocument/2006/custom-properties" xmlns:vt="http://schemas.openxmlformats.org/officeDocument/2006/docPropsVTypes"/>
</file>