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35في الشعر المنشور أقرب ما تكون إلى قصائد النثر الحديثة منها إلى الشعر المنثور الذي عرفته العربية طويلا عند جبران وغيره .</w:t>
      </w:r>
    </w:p>
    <w:p>
      <w:pPr/>
      <w:r>
        <w:rPr>
          <w:shd w:val="clear" w:fill="eeee80"/>
        </w:rPr>
        <w:t xml:space="preserve"> لهذا يعترف بأنه لم يتأثر في هذه التجربة بوالت ويتمان مبدع الشعر المنثور ،</w:t>
      </w:r>
    </w:p>
    <w:p>
      <w:pPr/>
      <w:r>
        <w:rPr>
          <w:shd w:val="clear" w:fill="eeee80"/>
        </w:rPr>
        <w:t xml:space="preserve"> وإنما شواهد الحال تدل على تأثره بإليوت .</w:t>
      </w:r>
    </w:p>
    <w:p>
      <w:pPr/>
      <w:r>
        <w:rPr/>
        <w:t xml:space="preserve"> وبالرغم من التحرر من كل وزن منتظم فموسيقى القصيدتين اللتين كتبهما شعراً منثوراً أدق وأعمق من الموسيقى الراتبة في ( بلوتلاند » .</w:t>
      </w:r>
    </w:p>
    <w:p>
      <w:pPr/>
      <w:r>
        <w:rPr>
          <w:shd w:val="clear" w:fill="eeee80"/>
        </w:rPr>
        <w:t xml:space="preserve"> ولعل فيهما من الشعر يقول لويس - بقدر ما في بقية الديوان .</w:t>
      </w:r>
    </w:p>
    <w:p>
      <w:pPr/>
      <w:r>
        <w:rPr>
          <w:shd w:val="clear" w:fill="eeee80"/>
        </w:rPr>
        <w:t xml:space="preserve"> وإن كان السبيل الوحيد إلى فهمهما هو الأذن المدربة على سماع شوبان وعجلات القطار الغليظة ،</w:t>
      </w:r>
    </w:p>
    <w:p>
      <w:pPr/>
      <w:r>
        <w:rPr/>
        <w:t xml:space="preserve"> فتربط ما بين أنغام الوجود مهما اختلفت مصادرها .</w:t>
      </w:r>
    </w:p>
    <w:p>
      <w:pPr/>
      <w:r>
        <w:rPr>
          <w:shd w:val="clear" w:fill="eeee80"/>
        </w:rPr>
        <w:t xml:space="preserve"> كما أن فهم هاتين القصيدتين يحتاج إلى علم بالأساطير الأوربية وتفقه فى الثقافات الغربية « ولن يحس بها إنسان يفهم الشعر على أنه الكلام الموزون المقنى » .</w:t>
      </w:r>
    </w:p>
    <w:p>
      <w:pPr/>
      <w:r>
        <w:rPr/>
        <w:t xml:space="preserve"> ويختم هذا المنافست التاريخي بقوله :النقاد والنحاة العرب في قيمة التضمين ، فمنهم من استطاب وجوده في الشعر كالأخفش ،</w:t>
      </w:r>
    </w:p>
    <w:p>
      <w:pPr/>
      <w:r>
        <w:rPr>
          <w:shd w:val="clear" w:fill="eeee80"/>
        </w:rPr>
        <w:t xml:space="preserve"> مدللين على أنه منالممكن أن نجد بيتين عند العرب يجريان مجرى الجملة الواحدة ،</w:t>
      </w:r>
    </w:p>
    <w:p>
      <w:pPr/>
      <w:r>
        <w:rPr/>
        <w:t xml:space="preserve"> كقول الربيع بن ضبع الفزاري :أصبحت لا أحمل السلاح ، ولا أملك رأس البعير ، إن نفراوالذئب أخشاه ، إن مررت بهوحدى ، وأخشى الرياح والمطراف و تجانس الجملتين في التركيب » و « حكم المعطوف والمعطوف عليه أن يجريا مجرى العقدة الواحدة ؟هما الضابط الذي يحكم حركة البيتين ؛ وهما ضابط شكلى صرف . لذلك كان من بين النقاد والنحاة العربمن يرفض التضمين رفضاً قاطعاً .</w:t>
      </w:r>
    </w:p>
    <w:p>
      <w:pPr/>
      <w:r>
        <w:rPr>
          <w:shd w:val="clear" w:fill="eeee80"/>
        </w:rPr>
        <w:t xml:space="preserve"> ومن هؤلاء أبو الحسن وغيره ممن قالوا : إن كل بيت من القصيدة شعر قائم بنفسه : ،</w:t>
      </w:r>
    </w:p>
    <w:p>
      <w:pPr/>
      <w:r>
        <w:rPr>
          <w:shd w:val="clear" w:fill="eeee80"/>
        </w:rPr>
        <w:t xml:space="preserve"> و فكلما ازدادت حاجة البيت الأول إلى الثاني واتصل به اتصالا شديداً كان أقبح مما لم يحتج الأول فيه إلى الثاني هذه الحاجة ،</w:t>
      </w:r>
    </w:p>
    <w:p>
      <w:pPr/>
      <w:r>
        <w:rPr/>
        <w:t xml:space="preserve"> قال : فمن أشد التضمين قول الشاعر روى عن قطرب وغيره :وليس المال ،</w:t>
      </w:r>
    </w:p>
    <w:p>
      <w:pPr/>
      <w:r>
        <w:rPr>
          <w:shd w:val="clear" w:fill="eeee80"/>
        </w:rPr>
        <w:t xml:space="preserve"> بمالمن الأقوام إلا الذىیرید به العلاء ويمتهنه الأقرب أقر بيه ،</w:t>
      </w:r>
    </w:p>
    <w:p>
      <w:pPr/>
      <w:r>
        <w:rPr>
          <w:shd w:val="clear" w:fill="eeee80"/>
        </w:rPr>
        <w:t xml:space="preserve"> والقصى فصمن بالموصول والصلة على شدة اتصال كل واحد منهما بصاحبه ،</w:t>
      </w:r>
    </w:p>
    <w:p>
      <w:pPr/>
      <w:r>
        <w:rPr/>
        <w:t xml:space="preserve"> وقال النابغة :وهم وردوا الجفار على تميموهم أصحاب يومعكاظ إنىشهدت لهم مواطن صادقاتأتيتهم مود وهذا دون الأول لأنه ليس اتصال المخبر عنه بخبره في شدة اتصال الموصول بصلته ، ( نفس المرجع -الصدر منىص 259).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2026-10-06T14:03:23+00:00</dcterms:created>
  <dcterms:modified xsi:type="dcterms:W3CDTF">2026-10-06T14:03:23+00:00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