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وعلاقاتهم والتجار للآخرين والزبائن تختلف عن تلك القواعد التي تنظم المعاملات المدنية.</w:t>
      </w:r>
    </w:p>
    <w:p>
      <w:pPr/>
      <w:r>
        <w:rPr>
          <w:shd w:val="clear" w:fill="eeee80"/>
        </w:rPr>
        <w:t xml:space="preserve"> وقد انعكست طبيعة البيئة التجارية التي تتطلب السرعة والثقة في نفس الوقت فهي: تختلف كل الاختلاف عن تلك البيئة  المدنية وذلك  بسبب أن الصفقات و المنتجات التي يحصل عليه التاجر لا تكون بقصد الاحتفاظ بها أو للاستعمال الشخصي،</w:t>
      </w:r>
    </w:p>
    <w:p>
      <w:pPr/>
      <w:r>
        <w:rPr>
          <w:shd w:val="clear" w:fill="eeee80"/>
        </w:rPr>
        <w:t xml:space="preserve"> وإنما لإعادة بيعها لتحقيق الربح كما أن كل الأعمال و النشاطات التي تتصف بصفة التجارة تخضع للقانون التجاري،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2026-09-18T18:55:21+00:00</dcterms:created>
  <dcterms:modified xsi:type="dcterms:W3CDTF">2026-09-18T18:55:21+00:00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