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لضمان توافق القوانين مع سياساته الرئيس والسلطة التنفيذية: يمكن أن يتدخل الرئيس أيضًا من خلال “الأوامر التنفيذية” التي تعمل كأداة لتجنب الجمود التشريعي عندما يصعب تمرير القوانين يمكن أن تؤثر القرارات والسياسات الحكومية على كيفية تشكيل القوانين.  قد تتطلب القوانين الفيدرالية أن تتماشى القوانين الولائية مع متطلبات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