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 شعور بالانتماء إلى مجتمع أوسع يتخطى الحدود الوطنية،</w:t>
      </w:r>
    </w:p>
    <w:p>
      <w:pPr/>
      <w:r>
        <w:rPr>
          <w:shd w:val="clear" w:fill="eeee80"/>
        </w:rPr>
        <w:t xml:space="preserve"> يبرز القاسم المشترك بين البشر،</w:t>
      </w:r>
    </w:p>
    <w:p>
      <w:pPr/>
      <w:r>
        <w:rPr>
          <w:shd w:val="clear" w:fill="eeee80"/>
        </w:rPr>
        <w:t xml:space="preserve"> ويتغذى من و أوجه الترابط بين المستويات المحلية والوطنية والعالمية من أجل عالم يتسم بالمزيد من العدل والسلامن ومقومات البقاء.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2026-10-02T16:02:12+00:00</dcterms:created>
  <dcterms:modified xsi:type="dcterms:W3CDTF">2026-10-02T16:02:12+00:00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