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Results:A total of 40 patients (20 in each group) completed the study.</w:t>
      </w:r>
    </w:p>
    <w:p>
      <w:pPr/>
      <w:r>
        <w:rPr/>
        <w:t xml:space="preserve"> At baseline, there was no statistically significant difference in the demographic and clinical characteristics between both groups. Both the LLLT and HILT groups showed significant improvement in the VAS and SPADI scores 3 weeks after treatment; however, the improvement was significantly higher in the HILT group than the LLLT group. </w:t>
      </w:r>
    </w:p>
    <w:p>
      <w:pPr/>
      <w:r>
        <w:rPr>
          <w:shd w:val="clear" w:fill="eeee80"/>
        </w:rPr>
        <w:t xml:space="preserve">There was no significant improvement in goniometric scores in both groups compared with baseline.</w:t>
      </w:r>
    </w:p>
    <w:p>
      <w:pPr/>
      <w:r>
        <w:rPr/>
        <w:t xml:space="preserve"> No injury or other musculoskeletal complications were recorded during or after the treatments.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2026-10-19T12:56:16+00:00</dcterms:created>
  <dcterms:modified xsi:type="dcterms:W3CDTF">2026-10-19T12:56:16+00:00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