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article reviews the strategic decision making literature by focusing on the dominant paradigms–i.e., rationality and bounded rationality, politics and power, and garbage can. We review the theory and key empirical support, and identify emergent debates within each paradigm. </w:t>
      </w:r>
    </w:p>
    <w:p>
      <w:pPr/>
      <w:r>
        <w:rPr>
          <w:shd w:val="clear" w:fill="eeee80"/>
        </w:rPr>
        <w:t xml:space="preserve">We conclude that strategic decision makers are boundedly rational, that power wins battles of choice, and that chance matters.</w:t>
      </w:r>
    </w:p>
    <w:p>
      <w:pPr/>
      <w:r>
        <w:rPr/>
        <w:t xml:space="preserve"> Further, we argue that these paradigms rest on unrealistic assumptions and tired controversies which are no longer very controversial. We conclude with a research agenda that emphasizes a more realistic view of strategic decision makers and decision making, and greater attention to normative implications, especially among profit‐seeking firms in global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2026-11-06T12:56:39+00:00</dcterms:created>
  <dcterms:modified xsi:type="dcterms:W3CDTF">2026-11-06T12:56:39+00:00</dcterms:modified>
</cp:coreProperties>
</file>

<file path=docProps/custom.xml><?xml version="1.0" encoding="utf-8"?>
<Properties xmlns="http://schemas.openxmlformats.org/officeDocument/2006/custom-properties" xmlns:vt="http://schemas.openxmlformats.org/officeDocument/2006/docPropsVTypes"/>
</file>