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القانون العام الداخلي وفروعه</w:t>
      </w:r>
    </w:p>
    <w:p>
      <w:pPr/>
      <w:r>
        <w:rPr>
          <w:shd w:val="clear" w:fill="eeee80"/>
        </w:rPr>
        <w:t xml:space="preserve">و هو مجموعة القواعد القانونية التي تنظم العلاقات بين الدولة أو أحد فروعها حين تتدخل بصفتها .</w:t>
      </w:r>
    </w:p>
    <w:p>
      <w:pPr/>
      <w:r>
        <w:rPr/>
        <w:t xml:space="preserve"> صاحبة سيادة أو سلطة عامة وبين الأشخاص الطبيعيين أو الأشخاص المعنوية أو العلاقة التي تقوم بين الدولة وأحد فروعها أو فيما بينها وبين هذه الفروع كما يشمل القانون العام الداخلي الفروع التانيةا القانون الدستوري - وهو القانون الأساسي للدولة ويتكون من مجموعة القواعد القانونية الدستور التي تميز نظام الحكم في الدولة ( جمهوري ملكي . الخ) وتبين السلطات العامة فيها ( التشريعية التنفيذية القضائية ( وممارسة السنطة السياسية.</w:t>
      </w:r>
    </w:p>
    <w:p>
      <w:pPr/>
      <w:r>
        <w:rPr>
          <w:shd w:val="clear" w:fill="eeee80"/>
        </w:rPr>
        <w:t xml:space="preserve">ب القانون الإداري : وهو القواعد التي تحدد أساليب مباشرة الإدارة العامة لسلطاتها في أداء الخدمات المرفقية الأمن الدفاع الصحة النظافة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2026-10-08T02:07:59+00:00</dcterms:created>
  <dcterms:modified xsi:type="dcterms:W3CDTF">2026-10-08T02:07:59+00:00</dcterms:modified>
</cp:coreProperties>
</file>

<file path=docProps/custom.xml><?xml version="1.0" encoding="utf-8"?>
<Properties xmlns="http://schemas.openxmlformats.org/officeDocument/2006/custom-properties" xmlns:vt="http://schemas.openxmlformats.org/officeDocument/2006/docPropsVTypes"/>
</file>