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لا تعتبر جريمة تبييض الأموال قائمة إلا إذا سبقتها إحدى الجرائم المنصوص عليها في المادة الأولى من قوانين مكافحة جرائم تبييض الأموال وما نتج عن هذه الجرائم من أموال غير مشروعة،</w:t>
      </w:r>
    </w:p>
    <w:p>
      <w:pPr/>
      <w:r>
        <w:rPr>
          <w:shd w:val="clear" w:fill="eeee80"/>
        </w:rPr>
        <w:t xml:space="preserve"> وهناك من اعتبر جريمة تبييض الأموال جريمة تبعية،</w:t>
      </w:r>
    </w:p>
    <w:p>
      <w:pPr/>
      <w:r>
        <w:rPr>
          <w:shd w:val="clear" w:fill="eeee80"/>
        </w:rPr>
        <w:t xml:space="preserve"> أي أنها مسبوقة بجريمة أخرى أولية أصلية،</w:t>
      </w:r>
    </w:p>
    <w:p>
      <w:pPr/>
      <w:r>
        <w:rPr>
          <w:shd w:val="clear" w:fill="eeee80"/>
        </w:rPr>
        <w:t xml:space="preserve"> فالجريمة الأولية الأصلية هي المصدر غير المشروع للأموال المراد تبييضها،</w:t>
      </w:r>
    </w:p>
    <w:p>
      <w:pPr/>
      <w:r>
        <w:rPr>
          <w:shd w:val="clear" w:fill="eeee80"/>
        </w:rPr>
        <w:t xml:space="preserve"> وهناك من اعتبر جريمة تبييض الأموال بمثابة إخفاء أو تمويه لجرائم الاتجار بالمخدرات والمؤثرات العقلية المحظورة دوليا ووطنيا.</w:t>
      </w:r>
    </w:p>
    <w:p>
      <w:pPr/>
      <w:r>
        <w:rPr>
          <w:shd w:val="clear" w:fill="eeee80"/>
        </w:rPr>
        <w:t xml:space="preserve">قد يكون غاسل الأموال هو نفسه مرتكب جريمة الاتجار بالمخدرات الناجمة عنها الأموال القذرة،</w:t>
      </w:r>
    </w:p>
    <w:p>
      <w:pPr/>
      <w:r>
        <w:rPr>
          <w:shd w:val="clear" w:fill="eeee80"/>
        </w:rPr>
        <w:t xml:space="preserve"> في الحالة الأولى يكون هناك اجتماع جرائم مادية جريمة الاتجار بالمخدرات وجريمة تبييض الأموال،</w:t>
      </w:r>
    </w:p>
    <w:p>
      <w:pPr/>
      <w:r>
        <w:rPr>
          <w:shd w:val="clear" w:fill="eeee80"/>
        </w:rPr>
        <w:t xml:space="preserve"> وفي حالة الثانية يعد غاسل الأموال مرتكبا لجريمة واحدة هي تبييض الأموال،</w:t>
      </w:r>
    </w:p>
    <w:p>
      <w:pPr/>
      <w:r>
        <w:rPr>
          <w:shd w:val="clear" w:fill="eeee80"/>
        </w:rPr>
        <w:t xml:space="preserve">من هنا تعتبر جريمة تبييض الأموال جريمة تبعية تلي وقوع جريمة أخرى سابقة لها،</w:t>
      </w:r>
    </w:p>
    <w:p>
      <w:pPr/>
      <w:r>
        <w:rPr>
          <w:shd w:val="clear" w:fill="eeee80"/>
        </w:rPr>
        <w:t xml:space="preserve"> ولكن هاتين الجريمتين مستقلتان فيجوز ملاحقة فاعل الجريمة التبعية جريمة تبييض الأموال،</w:t>
      </w:r>
    </w:p>
    <w:p>
      <w:pPr/>
      <w:r>
        <w:rPr>
          <w:shd w:val="clear" w:fill="eeee80"/>
        </w:rPr>
        <w:t xml:space="preserve"> ولو بقي فاعل الجريمة الأصلية الاتجار غير المشروع غير معاقب على جريمته.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2026-08-17T03:52:41+00:00</dcterms:created>
  <dcterms:modified xsi:type="dcterms:W3CDTF">2026-08-17T03:52:41+00:00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