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يونيلفر هي مؤسسة متعددة الجنسيات رائدة في مجال السلع الاستهلاكية الصحة والعناية والتنظيف،  وتضم آلاف العلامات التجارية المشهورة مثل Dove وLipton وSurf وغيرها.  تعمل في أكثر من 190 دولة،  وتوظف ما يزيد على مئة وخمسين ألف موظف عالميًّا.  تقوم يونيلفر بتنفيذ استراتيجيات موارد بشرية متكاملة تؤمن التوازن بين الأداء المالي،  والرضا الوظيفي للموظفين كجزء من رؤيتها نحو الـ “sustainable growth” أي النمو المستدام.  تهدف جهودها إلى ضمان أن الموارد البشرية ليست فقط عنصر تكميلي وإنما محوري في تحقيق الأهداف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2026-10-13T20:56:56+00:00</dcterms:created>
  <dcterms:modified xsi:type="dcterms:W3CDTF">2026-10-13T20:56:56+00:00</dcterms:modified>
</cp:coreProperties>
</file>

<file path=docProps/custom.xml><?xml version="1.0" encoding="utf-8"?>
<Properties xmlns="http://schemas.openxmlformats.org/officeDocument/2006/custom-properties" xmlns:vt="http://schemas.openxmlformats.org/officeDocument/2006/docPropsVTypes"/>
</file>