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ارتباطٌ قويٌّ بين جزيئات الوسط الناقل التي تهتز إلى الأعلى والأسفل عموديًا حول موضع الكون في نفس خط انتشار الموجة، وهذا الارتباط موجودٌ بين جزيئات الماء والسوائل الأخرى،</w:t>
      </w:r>
    </w:p>
    <w:p>
      <w:pPr/>
      <w:r>
        <w:rPr>
          <w:shd w:val="clear" w:fill="eeee80"/>
        </w:rPr>
        <w:t xml:space="preserve"> حيث أن جزيئات الماء تنعدم قوى الترابط بينها في القاع وهذا هو شرط حدوث الموجات الطولية عند اهتزاز جزيئات الماء عند القاع حول موضع السكون في نفس خط انتشار الموجة.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2026-08-22T23:29:11+00:00</dcterms:created>
  <dcterms:modified xsi:type="dcterms:W3CDTF">2026-08-22T23:29:11+00:00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