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الحجز التنفيذي على أصول المدين</w:t>
      </w:r>
    </w:p>
    <w:p>
      <w:pPr/>
      <w:r>
        <w:rPr>
          <w:shd w:val="clear" w:fill="eeee80"/>
        </w:rPr>
        <w:t xml:space="preserve">يجوز للدائن المطالبة قضائياً بعد إخطار المدين وفقاً للمادة 600 من قانون الإجراءات المدنية الإدارية والمدنية.</w:t>
      </w:r>
    </w:p>
    <w:p>
      <w:pPr/>
      <w:r>
        <w:rPr>
          <w:shd w:val="clear" w:fill="eeee80"/>
        </w:rPr>
        <w:t xml:space="preserve">عملاً بالمادة 600 من قانون الإجراءات الإدارية والمدنية،</w:t>
      </w:r>
    </w:p>
    <w:p>
      <w:pPr/>
      <w:r>
        <w:rPr/>
        <w:t xml:space="preserve"> يجوز المطالبة بالحقوق الشخصية بعد استنفاد جميع السبل، بما في ذلك التهديد بالتغريم.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2026-10-27T16:11:18+00:00</dcterms:created>
  <dcterms:modified xsi:type="dcterms:W3CDTF">2026-10-27T16:11:18+00:00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