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الأنظمة النقدية، مُركزًا على النظام النقدي السلعي.  يشترط هذا النظام قبول السلعة كوسيلة تبادل، وتساوي قيمتها الاستهلاكية ونقدية، وقدرتها على أداء وظيفتي التبادل والاستهلاك معًا، بالإضافة إلى توازن العرض والطلب وقيمة محددة بالنسبة للسلع الأخرى.  لكنّه يفشل بسبب صعوبة تجزئة السلع عند التبادل، وصعوبة حفظها، فضلًا عن ظهور المعادن كبديل أفضل لحفظ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