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الموافقة على مخاطر تكنولوجيا المعلومات.</w:t>
      </w:r>
    </w:p>
    <w:p>
      <w:pPr/>
      <w:r>
        <w:rPr/>
        <w:t xml:space="preserve">بناءً على حدود تحمل المخاطر الخاصة بتكنولوجيا المعلومات المتفق عليها كدليل إرشادي،</w:t>
      </w:r>
    </w:p>
    <w:p>
      <w:pPr/>
      <w:r>
        <w:rPr>
          <w:shd w:val="clear" w:fill="eeee80"/>
        </w:rPr>
        <w:t xml:space="preserve"> قم بتقييم ما إذا كنت ستقبل مستوى المخاطر المتبقية.</w:t>
      </w:r>
    </w:p>
    <w:p>
      <w:pPr/>
      <w:r>
        <w:rPr>
          <w:shd w:val="clear" w:fill="eeee80"/>
        </w:rPr>
        <w:t xml:space="preserve"> استخدم البيانات الهامة الواردة من تقارير تقييم المخاطر كمرجع،</w:t>
      </w:r>
    </w:p>
    <w:p>
      <w:pPr/>
      <w:r>
        <w:rPr/>
        <w:t xml:space="preserve"> مثل احتمالية حدوث الخسائر ومدياتها،</w:t>
      </w:r>
    </w:p>
    <w:p>
      <w:pPr/>
      <w:r>
        <w:rPr>
          <w:shd w:val="clear" w:fill="eeee80"/>
        </w:rPr>
        <w:t xml:space="preserve"> بالإضافة إلى بدائل الاستجابة للمخاطر،</w:t>
      </w:r>
    </w:p>
    <w:p>
      <w:pPr/>
      <w:r>
        <w:rPr/>
        <w:t xml:space="preserve"> والآثار المتوقعة لتراكم المخاطر. قم بمناقشة النتائج مع قيادات العمليات التجارية المتأثرة،</w:t>
      </w:r>
    </w:p>
    <w:p>
      <w:pPr/>
      <w:r>
        <w:rPr>
          <w:shd w:val="clear" w:fill="eeee80"/>
        </w:rPr>
        <w:t xml:space="preserve"> وراجعوا سويًا العلاقة بين المخاطر والعائد،</w:t>
      </w:r>
    </w:p>
    <w:p>
      <w:pPr/>
      <w:r>
        <w:rPr>
          <w:shd w:val="clear" w:fill="eeee80"/>
        </w:rPr>
        <w:t xml:space="preserve"> وحددوا الأولويات التي يجب أن يتم فيها إنفاق ميزانية المخاطر على المخاطر "المعروفة" للسماح بقبول المخاطر "غير المعروفة".</w:t>
      </w:r>
    </w:p>
    <w:p>
      <w:pPr/>
      <w:r>
        <w:rPr>
          <w:shd w:val="clear" w:fill="eeee80"/>
        </w:rPr>
        <w:t xml:space="preserve"> احصل على موافقة قطاع العمل على قبول المخاطر المقترحة،</w:t>
      </w:r>
    </w:p>
    <w:p>
      <w:pPr/>
      <w:r>
        <w:rPr>
          <w:shd w:val="clear" w:fill="eeee80"/>
        </w:rPr>
        <w:t xml:space="preserve"> حدد متطلبات الاستجابة للمخاطر الملائمة.</w:t>
      </w:r>
    </w:p>
    <w:p>
      <w:pPr/>
      <w:r>
        <w:rPr/>
        <w:t xml:space="preserve"> احتفظ بسجل يوضح كيفية أخذ المخاطر في الاعتبار عند اتخاذ القرار، مع توضيح أسباب أي استثناءات تتعلق بتحمل المخاطر (على سبيل المثال، فرصة عمل استراتيجية ذات أولوية).</w:t>
      </w:r>
    </w:p>
    <w:p>
      <w:pPr/>
      <w:r>
        <w:rPr>
          <w:shd w:val="clear" w:fill="eeee80"/>
        </w:rPr>
        <w:t xml:space="preserve"> تأكد من نشر قرارات قبول المخاطر ومتطلبات الاستجابة للمخاطر عبر مختلف مستويات الهيكل التنظيمي،</w:t>
      </w:r>
    </w:p>
    <w:p>
      <w:pPr/>
      <w:r>
        <w:rPr>
          <w:shd w:val="clear" w:fill="eeee80"/>
        </w:rPr>
        <w:t xml:space="preserve"> بما يتوافق مع السياسات والإجراءات المؤسسية لإدارة المخاطر وحوكمة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2026-08-24T01:00:05+00:00</dcterms:created>
  <dcterms:modified xsi:type="dcterms:W3CDTF">2026-08-24T01:00:05+00:00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