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صاحب كتاب: الإنصاف في التّنبيه على الأسباب التي أوجبت الاختلاف بين المسلمين؟ </w:t>
      </w:r>
    </w:p>
    <w:p>
      <w:pPr/>
      <w:r>
        <w:rPr>
          <w:shd w:val="clear" w:fill="eeee80"/>
        </w:rPr>
        <w:t xml:space="preserve">لأبي محمد عبد الله بن محمد بن السيد البطليوسي (ت521هـ) </w:t>
      </w:r>
    </w:p>
    <w:p>
      <w:pPr/>
      <w:r>
        <w:rPr/>
        <w:t xml:space="preserve">لابن رشد الحفيد(ت595هـ) </w:t>
      </w:r>
    </w:p>
    <w:p>
      <w:pPr/>
      <w:r>
        <w:rPr>
          <w:shd w:val="clear" w:fill="eeee80"/>
        </w:rPr>
        <w:t xml:space="preserve">لمحمد شقرون </w:t>
      </w:r>
    </w:p>
    <w:p>
      <w:pPr/>
      <w:r>
        <w:rPr>
          <w:shd w:val="clear" w:fill="eeee80"/>
        </w:rPr>
        <w:t xml:space="preserve">محمّد الحجوي الثّعالبيّ(ت1376هـ)؟ </w:t>
      </w:r>
    </w:p>
    <w:p>
      <w:pPr/>
      <w:r>
        <w:rPr>
          <w:shd w:val="clear" w:fill="eeee80"/>
        </w:rPr>
        <w:t xml:space="preserve">وهبة الزحيلي </w:t>
      </w:r>
    </w:p>
    <w:p>
      <w:pPr/>
      <w:r>
        <w:rPr>
          <w:shd w:val="clear" w:fill="eeee80"/>
        </w:rPr>
        <w:t xml:space="preserve">لمحمد شقرون </w:t>
      </w:r>
    </w:p>
    <w:p>
      <w:pPr/>
      <w:r>
        <w:rPr>
          <w:shd w:val="clear" w:fill="eeee80"/>
        </w:rPr>
        <w:t xml:space="preserve">الاختلاف الفقه ّي هو ما يقع بين المجتهدين في المسائل الاجتهاديِّة التي.</w:t>
      </w:r>
    </w:p>
    <w:p>
      <w:pPr/>
      <w:r>
        <w:rPr>
          <w:shd w:val="clear" w:fill="eeee80"/>
        </w:rPr>
        <w:t xml:space="preserve">فيها دليل ظني </w:t>
      </w:r>
    </w:p>
    <w:p>
      <w:pPr/>
      <w:r>
        <w:rPr>
          <w:shd w:val="clear" w:fill="eeee80"/>
        </w:rPr>
        <w:t xml:space="preserve">فيها قرينة مرجحة </w:t>
      </w:r>
    </w:p>
    <w:p>
      <w:pPr/>
      <w:r>
        <w:rPr>
          <w:shd w:val="clear" w:fill="eeee80"/>
        </w:rPr>
        <w:t xml:space="preserve">الكتاب المعتمد:</w:t>
      </w:r>
    </w:p>
    <w:p>
      <w:pPr/>
      <w:r>
        <w:rPr>
          <w:shd w:val="clear" w:fill="eeee80"/>
        </w:rPr>
        <w:t xml:space="preserve">الإنصاف في التّنبيه على الأسباب التي أوجبت الاختلاف بين المسلمين،</w:t>
      </w:r>
    </w:p>
    <w:p>
      <w:pPr/>
      <w:r>
        <w:rPr>
          <w:shd w:val="clear" w:fill="eeee80"/>
        </w:rPr>
        <w:t xml:space="preserve"> ابن السّيد البطليوسيّ.</w:t>
      </w:r>
    </w:p>
    <w:p>
      <w:pPr/>
      <w:r>
        <w:rPr>
          <w:shd w:val="clear" w:fill="eeee80"/>
        </w:rPr>
        <w:t xml:space="preserve"> على مستوى الفهم أو التنزيل؛</w:t>
      </w:r>
    </w:p>
    <w:p>
      <w:pPr/>
      <w:r>
        <w:rPr>
          <w:shd w:val="clear" w:fill="eeee80"/>
        </w:rPr>
        <w:t xml:space="preserve">• انتقل الصحابة بعد وفاة النبي صلى الله عليه وسلم من طور الاعتماد الكلي في الفهم والتفسير والتنزيل،</w:t>
      </w:r>
    </w:p>
    <w:p>
      <w:pPr/>
      <w:r>
        <w:rPr>
          <w:shd w:val="clear" w:fill="eeee80"/>
        </w:rPr>
        <w:t xml:space="preserve"> إلى طور جديد.</w:t>
      </w:r>
    </w:p>
    <w:p>
      <w:pPr/>
      <w:r>
        <w:rPr>
          <w:shd w:val="clear" w:fill="eeee80"/>
        </w:rPr>
        <w:t xml:space="preserve">كانت البذرة الأولى التي انبثق منها الاختلاف الفقهي وما ترتب عليه من نشوء المدارس والاتجاهات الفقهية عي ظهور اتجاهين: </w:t>
      </w:r>
    </w:p>
    <w:p>
      <w:pPr/>
      <w:r>
        <w:rPr>
          <w:shd w:val="clear" w:fill="eeee80"/>
        </w:rPr>
        <w:t xml:space="preserve">✓- التمسك بالنصوص والظواهر،</w:t>
      </w:r>
    </w:p>
    <w:p>
      <w:pPr/>
      <w:r>
        <w:rPr/>
        <w:t xml:space="preserve"> والاقتصار عليها،</w:t>
      </w:r>
    </w:p>
    <w:p>
      <w:pPr/>
      <w:r>
        <w:rPr>
          <w:shd w:val="clear" w:fill="eeee80"/>
        </w:rPr>
        <w:t xml:space="preserve"> ومن أصحابه: ابن عمر والزبير وابن عمرو وابن العاص.</w:t>
      </w:r>
    </w:p>
    <w:p>
      <w:pPr/>
      <w:r>
        <w:rPr>
          <w:shd w:val="clear" w:fill="eeee80"/>
        </w:rPr>
        <w:t xml:space="preserve">✓- النظر وإعما ُل الرأي في استنباط العلل والمقاصد لتطبيق الأحكام التي أنيطت بها متجدد النوازل،</w:t>
      </w:r>
    </w:p>
    <w:p>
      <w:pPr/>
      <w:r>
        <w:rPr>
          <w:shd w:val="clear" w:fill="eeee80"/>
        </w:rPr>
        <w:t xml:space="preserve"> ومن أصحابه عمر وابن مسعود.</w:t>
      </w:r>
    </w:p>
    <w:p>
      <w:pPr/>
      <w:r>
        <w:rPr/>
        <w:t xml:space="preserve"> وفي مقابلهم ظهر من التابعين أئمة اشتهروا بالرأي: كربيعة بن أبي عبد الرحمن،</w:t>
      </w:r>
    </w:p>
    <w:p>
      <w:pPr/>
      <w:r>
        <w:rPr>
          <w:shd w:val="clear" w:fill="eeee80"/>
        </w:rPr>
        <w:t xml:space="preserve"> وعلقمة بن قيس،</w:t>
      </w:r>
    </w:p>
    <w:p>
      <w:pPr/>
      <w:r>
        <w:rPr>
          <w:shd w:val="clear" w:fill="eeee80"/>
        </w:rPr>
        <w:t xml:space="preserve"> وإبراهيم النّخعي.</w:t>
      </w:r>
    </w:p>
    <w:p>
      <w:pPr/>
      <w:r>
        <w:rPr>
          <w:shd w:val="clear" w:fill="eeee80"/>
        </w:rPr>
        <w:t xml:space="preserve"> كان هؤلاء امتدادا لاختلاف الصحابة حول قطبي النص والاجتهاد،</w:t>
      </w:r>
    </w:p>
    <w:p>
      <w:pPr/>
      <w:r>
        <w:rPr>
          <w:shd w:val="clear" w:fill="eeee80"/>
        </w:rPr>
        <w:t xml:space="preserve"> أو الأثر والنظر،</w:t>
      </w:r>
    </w:p>
    <w:p>
      <w:pPr/>
      <w:r>
        <w:rPr>
          <w:shd w:val="clear" w:fill="eeee80"/>
        </w:rPr>
        <w:t xml:space="preserve"> وقد استقلن كل واحدة من المدرستين في منطقة جغرافية صارت معقلا لروادها،</w:t>
      </w:r>
    </w:p>
    <w:p>
      <w:pPr/>
      <w:r>
        <w:rPr>
          <w:shd w:val="clear" w:fill="eeee80"/>
        </w:rPr>
        <w:t xml:space="preserve"> فكان الحجاز مركز الحديث والأثر،</w:t>
      </w:r>
    </w:p>
    <w:p>
      <w:pPr/>
      <w:r>
        <w:rPr>
          <w:shd w:val="clear" w:fill="eeee80"/>
        </w:rPr>
        <w:t xml:space="preserve"> والعراق مستقر أهل الرأي والنظر.</w:t>
      </w:r>
    </w:p>
    <w:p>
      <w:pPr/>
      <w:r>
        <w:rPr>
          <w:shd w:val="clear" w:fill="eeee80"/>
        </w:rPr>
        <w:t xml:space="preserve"> يعد اختلاف المدرستين مظهرا لمنهجين متقابلين عموما قلا تكاد تخلو منهما أي بيئة إنسانية متحضرة: منهج التمسك بالظواهر،</w:t>
      </w:r>
    </w:p>
    <w:p>
      <w:pPr/>
      <w:r>
        <w:rPr>
          <w:shd w:val="clear" w:fill="eeee80"/>
        </w:rPr>
        <w:t xml:space="preserve"> ومنهج التمسك بالمقاصد والحكم.</w:t>
      </w:r>
    </w:p>
    <w:p>
      <w:pPr/>
      <w:r>
        <w:rPr/>
        <w:t xml:space="preserve">أمثلة لمسائل الخلاف بين المدرستين:</w:t>
      </w:r>
    </w:p>
    <w:p>
      <w:pPr/>
      <w:r>
        <w:rPr>
          <w:shd w:val="clear" w:fill="eeee80"/>
        </w:rPr>
        <w:t xml:space="preserve">صدقة الفطر (تخرج من الأصناف المحددة في الحديث.</w:t>
      </w:r>
    </w:p>
    <w:p>
      <w:pPr/>
      <w:r>
        <w:rPr>
          <w:shd w:val="clear" w:fill="eeee80"/>
        </w:rPr>
        <w:t xml:space="preserve"> إن اختار ردها وجب عليه أداء قيمة اللبن المحلوب أخذا بقاعدة ضمان المتلفات).</w:t>
      </w:r>
    </w:p>
    <w:p>
      <w:pPr/>
      <w:r>
        <w:rPr>
          <w:shd w:val="clear" w:fill="eeee80"/>
        </w:rPr>
        <w:t xml:space="preserve">-روائية</w:t>
      </w:r>
    </w:p>
    <w:p>
      <w:pPr/>
      <w:r>
        <w:rPr>
          <w:shd w:val="clear" w:fill="eeee80"/>
        </w:rPr>
        <w:t xml:space="preserve">-لغوية</w:t>
      </w:r>
    </w:p>
    <w:p>
      <w:pPr/>
      <w:r>
        <w:rPr>
          <w:shd w:val="clear" w:fill="eeee80"/>
        </w:rPr>
        <w:t xml:space="preserve">• 1: عدم الاطلاع على الحديث،</w:t>
      </w:r>
    </w:p>
    <w:p>
      <w:pPr/>
      <w:r>
        <w:rPr>
          <w:shd w:val="clear" w:fill="eeee80"/>
        </w:rPr>
        <w:t xml:space="preserve"> وذلك بأن يصل إلى قوم ولا يصل إلى آخرين،</w:t>
      </w:r>
    </w:p>
    <w:p>
      <w:pPr/>
      <w:r>
        <w:rPr>
          <w:shd w:val="clear" w:fill="eeee80"/>
        </w:rPr>
        <w:t xml:space="preserve"> فينبي على ذلك اختلاف في حكم </w:t>
      </w:r>
    </w:p>
    <w:p>
      <w:pPr/>
      <w:r>
        <w:rPr>
          <w:shd w:val="clear" w:fill="eeee80"/>
        </w:rPr>
        <w:t xml:space="preserve">الواقعة.</w:t>
      </w:r>
    </w:p>
    <w:p>
      <w:pPr/>
      <w:r>
        <w:rPr>
          <w:shd w:val="clear" w:fill="eeee80"/>
        </w:rPr>
        <w:t xml:space="preserve"> • مثاله: أن الجدّة جاءت إلى أبي بكر تسأله ميراثها،</w:t>
      </w:r>
    </w:p>
    <w:p>
      <w:pPr/>
      <w:r>
        <w:rPr>
          <w:shd w:val="clear" w:fill="eeee80"/>
        </w:rPr>
        <w:t xml:space="preserve"> فقال: ما لك في كتاب الله من شيء،</w:t>
      </w:r>
    </w:p>
    <w:p>
      <w:pPr/>
      <w:r>
        <w:rPr>
          <w:shd w:val="clear" w:fill="eeee80"/>
        </w:rPr>
        <w:t xml:space="preserve"> وما علمت لك في سنة رسول الله صلى الله عليه وسلم شيئا،</w:t>
      </w:r>
    </w:p>
    <w:p>
      <w:pPr/>
      <w:r>
        <w:rPr/>
        <w:t xml:space="preserve"> فارجعي حتى أسأل الناس،</w:t>
      </w:r>
    </w:p>
    <w:p>
      <w:pPr/>
      <w:r>
        <w:rPr>
          <w:shd w:val="clear" w:fill="eeee80"/>
        </w:rPr>
        <w:t xml:space="preserve">مسلمة الأنصاري،</w:t>
      </w:r>
    </w:p>
    <w:p>
      <w:pPr/>
      <w:r>
        <w:rPr>
          <w:shd w:val="clear" w:fill="eeee80"/>
        </w:rPr>
        <w:t xml:space="preserve"> فقال مثلما قال المغيرة،</w:t>
      </w:r>
    </w:p>
    <w:p>
      <w:pPr/>
      <w:r>
        <w:rPr>
          <w:shd w:val="clear" w:fill="eeee80"/>
        </w:rPr>
        <w:t xml:space="preserve"> الموطأ.</w:t>
      </w:r>
    </w:p>
    <w:p>
      <w:pPr/>
      <w:r>
        <w:rPr>
          <w:shd w:val="clear" w:fill="eeee80"/>
        </w:rPr>
        <w:t xml:space="preserve">الأسباب الاستنباطية:</w:t>
      </w:r>
    </w:p>
    <w:p>
      <w:pPr/>
      <w:r>
        <w:rPr>
          <w:shd w:val="clear" w:fill="eeee80"/>
        </w:rPr>
        <w:t xml:space="preserve"> فمنها: </w:t>
      </w:r>
    </w:p>
    <w:p>
      <w:pPr/>
      <w:r>
        <w:rPr>
          <w:shd w:val="clear" w:fill="eeee80"/>
        </w:rPr>
        <w:t xml:space="preserve">❖ الاختلاف في ثبوت العقوبات والكفارات بالقياس ❖ اتفق الفقهاء على أن التعزير يثبت بالقياس؛</w:t>
      </w:r>
    </w:p>
    <w:p>
      <w:pPr/>
      <w:r>
        <w:rPr>
          <w:shd w:val="clear" w:fill="eeee80"/>
        </w:rPr>
        <w:t xml:space="preserve"> لأن الشارع قد نص على عقوبات معينة بغرض لابردع عن الجرائم،</w:t>
      </w:r>
    </w:p>
    <w:p>
      <w:pPr/>
      <w:r>
        <w:rPr>
          <w:shd w:val="clear" w:fill="eeee80"/>
        </w:rPr>
        <w:t xml:space="preserve">فإن وقعت جرائم لم ينص على عقوبتها فقد اختلف الفقهاءٌ هل تقاسُ على المنصوص على عقوبتها؟</w:t>
      </w:r>
    </w:p>
    <w:p>
      <w:pPr/>
      <w:r>
        <w:rPr>
          <w:shd w:val="clear" w:fill="eeee80"/>
        </w:rPr>
        <w:t xml:space="preserve">❖ فذهب الشافعي وأحمد وبعض المالكية بقياسها على العقوبات المقدرة؛</w:t>
      </w:r>
    </w:p>
    <w:p>
      <w:pPr/>
      <w:r>
        <w:rPr/>
        <w:t xml:space="preserve"> لأن القياس من أدلة الشرع يثبت به 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 ❖ وذهب الحنفية وأكثر المالكية إلى القول بالمنع؛</w:t>
      </w:r>
    </w:p>
    <w:p>
      <w:pPr/>
      <w:r>
        <w:rPr>
          <w:shd w:val="clear" w:fill="eeee80"/>
        </w:rPr>
        <w:t xml:space="preserve"> إذ المقدرات الشرعيةُ لا يدخلها؛</w:t>
      </w:r>
    </w:p>
    <w:p>
      <w:pPr/>
      <w:r>
        <w:rPr>
          <w:shd w:val="clear" w:fill="eeee80"/>
        </w:rPr>
        <w:t xml:space="preserve"> لأنها غير معقولة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2026-11-04T15:49:17+00:00</dcterms:created>
  <dcterms:modified xsi:type="dcterms:W3CDTF">2026-11-04T15:49:17+00:00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