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تصنيفات مناخ العمل،</w:t>
      </w:r>
    </w:p>
    <w:p>
      <w:pPr/>
      <w:r>
        <w:rPr>
          <w:shd w:val="clear" w:fill="eeee80"/>
        </w:rPr>
        <w:t xml:space="preserve">التوصل إليه من خلال دراستهم لعدة معايير منها: الروح المعنوية</w:t>
      </w:r>
    </w:p>
    <w:p>
      <w:pPr/>
      <w:r>
        <w:rPr>
          <w:shd w:val="clear" w:fill="eeee80"/>
        </w:rPr>
        <w:t xml:space="preserve"> وشعورهم بعوائق 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2026-10-20T17:14:52+00:00</dcterms:created>
  <dcterms:modified xsi:type="dcterms:W3CDTF">2026-10-20T17:14:52+00:00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