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Liquidity ratios are used to measure a company's ability to meet its short-term obligations with its current assets.</w:t>
      </w:r>
    </w:p>
    <w:p>
      <w:pPr/>
      <w:r>
        <w:rPr>
          <w:shd w:val="clear" w:fill="eeee80"/>
        </w:rPr>
        <w:t xml:space="preserve">In the case of SODIC company, the interpretation of liquidity ratios would depend on the specific ratios being analyzed, such as the current ratio and quick ratio.</w:t>
      </w:r>
    </w:p>
    <w:p>
      <w:pPr/>
      <w:r>
        <w:rPr/>
        <w:t xml:space="preserve">1. Current Ratio: This ratio measures the company's ability to pay off its short-term liabilities with its current assets. A higher current ratio indicates that the company is more capable of meeting its short-term obligations. If SODIC has a high current ratio, it suggests that the company has enough liquid assets to cover its short-term debts.2. </w:t>
      </w:r>
    </w:p>
    <w:p>
      <w:pPr/>
      <w:r>
        <w:rPr>
          <w:shd w:val="clear" w:fill="eeee80"/>
        </w:rPr>
        <w:t xml:space="preserve">Quick Ratio: Also known as the acid-test ratio, this ratio is a more stringent measure of liquidity as it excludes inventory from current assets.</w:t>
      </w:r>
    </w:p>
    <w:p>
      <w:pPr/>
      <w:r>
        <w:rPr/>
        <w:t xml:space="preserve"> A higher quick ratio indicates that the company can quickly pay off its short-term liabilities without relying on selling inventory. If SODIC has a high quick ratio, it suggests that the company is in a strong financial position.</w:t>
      </w:r>
    </w:p>
    <w:p>
      <w:pPr/>
      <w:r>
        <w:rPr>
          <w:shd w:val="clear" w:fill="eeee80"/>
        </w:rPr>
        <w:t xml:space="preserve">Overall, a high liquidity ratio for SODIC would indicate that the company has sufficient liquid assets to cover its short-term obligations and is in a good financial position.</w:t>
      </w:r>
    </w:p>
    <w:p>
      <w:pPr/>
      <w:r>
        <w:rPr/>
        <w:t xml:space="preserve"> However, it is important to consider other factors such as industry norms and overall financial health when interpreting liquidity ratios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2026-10-19T14:32:40+00:00</dcterms:created>
  <dcterms:modified xsi:type="dcterms:W3CDTF">2026-10-19T14:32:40+00:00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