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نما قطاع التكافل بشكل ملحوظ خلال الأعوام الثلاثة الماضية  وهو يمثل بديلاً أخلاقياً للتأمين التقليدي ويتفق مع مقاصد الشريعة الإسلامية  TakÉful يساعد على تقليل الخوف والقلق لدى المشاركين من خلال عن طريق تعويض الخسائر والأضرار ضد بعض المخاطر وفقا ل  وأسسها الأخلاقية تمكن القطاع من القيام بذلك وضع نفسه باعتباره القطاع المالي الذي يروج حقًا للمقاليد والقواعد المشتقة منها يجب أن توجه العمليات عمليات التكافل مع الاهتمامات الأخلاقية لتوفير المتبادل فوائد الحماية وتبديد المخاطر أو تقليلها من خلال المشاركة  وينظر إلى البعد الإضافي المتمثل في حماية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2026-11-06T20:44:08+00:00</dcterms:created>
  <dcterms:modified xsi:type="dcterms:W3CDTF">2026-11-06T20:44:08+00:00</dcterms:modified>
</cp:coreProperties>
</file>

<file path=docProps/custom.xml><?xml version="1.0" encoding="utf-8"?>
<Properties xmlns="http://schemas.openxmlformats.org/officeDocument/2006/custom-properties" xmlns:vt="http://schemas.openxmlformats.org/officeDocument/2006/docPropsVTypes"/>
</file>