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 250 ml Erlenmeyer flask, use a volumetric pipette to put 10 ml of the oxalic acid solutionH2C2O4 of unknown normality with 50 ml of distilled water heated to a maximum of 70°Cand 50 ml of sulfuric acid.Using a funnel, fill the burette with potassium permanganate of normality 0.1N. </w:t>
      </w:r>
    </w:p>
    <w:p>
      <w:pPr/>
      <w:r>
        <w:rPr>
          <w:shd w:val="clear" w:fill="eeee80"/>
        </w:rPr>
        <w:t xml:space="preserve">Pour theKMnO4 from the burette slowly, while shaking the Erlenmeyer flask constantly.</w:t>
      </w:r>
    </w:p>
    <w:p>
      <w:pPr/>
      <w:r>
        <w:rPr/>
        <w:t xml:space="preserve"> At first thesolution remains red after the first drop, so you have to wait for discoloration beforecontinuing to pour the KMnO4. Stop pouring the potassium permanganate when a pink colorappears which persists after stirring. .Note the volume poured and repeat the operation a second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2026-08-19T05:15:31+00:00</dcterms:created>
  <dcterms:modified xsi:type="dcterms:W3CDTF">2026-08-19T05:15:31+00:00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