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العاملين في مجال الاستراتيجية والمهتمين بها،</w:t>
      </w:r>
    </w:p>
    <w:p>
      <w:pPr/>
      <w:r>
        <w:rPr>
          <w:shd w:val="clear" w:fill="eeee80"/>
        </w:rPr>
        <w:t xml:space="preserve"> يعرفون أن مجال الاستراتيجية لا زال بكراً،</w:t>
      </w:r>
    </w:p>
    <w:p>
      <w:pPr/>
      <w:r>
        <w:rPr>
          <w:shd w:val="clear" w:fill="eeee80"/>
        </w:rPr>
        <w:t xml:space="preserve"> ولا زالت الدراسات والمدارس تتفاوت في نظرتها للموضوع وزوايا التركيز،</w:t>
      </w:r>
    </w:p>
    <w:p>
      <w:pPr/>
      <w:r>
        <w:rPr/>
        <w:t xml:space="preserve"> ولكي يكون لدى القارئ شيء من الإلمام بالموضوع، سنستعرض بعض هذه المدارس أو وجهات النظر حول موضوع الاستراتيجية.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2026-10-18T20:08:40+00:00</dcterms:created>
  <dcterms:modified xsi:type="dcterms:W3CDTF">2026-10-18T20:08:40+00:00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