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تعكس طريقة حقوق الملكية في المحاسبة عن الاستثمار العلاقة القريبة التي يمكن أن توجد ما بين مستثمر Investor والشركة المستثمر فيها Investee.</w:t>
      </w:r>
    </w:p>
    <w:p>
      <w:pPr/>
      <w:r>
        <w:rPr>
          <w:shd w:val="clear" w:fill="eeee80"/>
        </w:rPr>
        <w:t xml:space="preserve"> وبشكل أكثر تحديداً تكون هذه الطريقة واجبة الاستخدام عندما يحقق المالك القدرة على ممارسة تأثير هام على القرارات التشغيلية والمالية للشركة المستثمر فيها.</w:t>
      </w:r>
    </w:p>
    <w:p>
      <w:pPr/>
      <w:r>
        <w:rPr>
          <w:shd w:val="clear" w:fill="eeee80"/>
        </w:rPr>
        <w:t xml:space="preserve"> يفترض وجود التأثير الهام عندما يمتلك المستثمر نسبة ملكية تتراوح ما بين 20% إلى 50% من حقوق التصويت في الشركة المستثمر فيها Investee،</w:t>
      </w:r>
    </w:p>
    <w:p>
      <w:pPr/>
      <w:r>
        <w:rPr>
          <w:shd w:val="clear" w:fill="eeee80"/>
        </w:rPr>
        <w:t xml:space="preserve"> وعلى الرغم من ذلك فإن على المحاسب أن يقوم بتقييم كل حالة استثمار في شركة) زميلة (بشكل منفرد حتى يقرر ما إذا قد تم تحقيق معيار التأثير الهام وبالتالي تطبيق طريقة حقوق الملكية.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2024-03-29T13:59:36+00:00</dcterms:created>
  <dcterms:modified xsi:type="dcterms:W3CDTF">2024-03-29T13:59:36+00:00</dcterms:modified>
</cp:coreProperties>
</file>

<file path=docProps/custom.xml><?xml version="1.0" encoding="utf-8"?>
<Properties xmlns="http://schemas.openxmlformats.org/officeDocument/2006/custom-properties" xmlns:vt="http://schemas.openxmlformats.org/officeDocument/2006/docPropsVTypes"/>
</file>