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the intention of this article to define the term “peer review” or “review by peers” in thebroadest terms and to secure to those who engage in any aspect of review in, at, for, or onthe behalf of the hospital and its medical staff, the broadest possible privilege and immunityfrom liability.8.2 “Peer” is defined as a person who has equal standing with another person, or otherpersons, as in education, age, training, rank or status. In quality of care reviews, peers aredefined as professionals in the same specialty of professional practice or a relatedspecialty.8.3 Indications for Peer ReviewThe procedures provided in this Article shall be invoked, after collegial intervention effortshave not resolved the issue, whenever it appears that the activities or professional conductof any member of the Medical Staff :8.3.1 Jeopardizes or may jeopardize the care, treatment of provision of medical services toa patient, or the safety of a patient, visitor or employee;8.3.2 Each case in which there is suspected deviation standard of care or professionalpractice, an adverse outcome or failing to meet the established criteria formanagement, or a patient or provider compliant shall be reviewed.8.3.3 Each service line and the Quality Improvement, Patient Safety, and Clinical RiskManagement Department shall determine which clinical outcome indicator(s)require peer review.8.3.4 All unexpected/preventable mortalities occurring during hospitalization orimmediately after discharge (when known) shall be reviewed. </w:t>
      </w:r>
    </w:p>
    <w:p>
      <w:pPr/>
      <w:r>
        <w:rPr>
          <w:shd w:val="clear" w:fill="eeee80"/>
        </w:rPr>
        <w:t xml:space="preserve">Initial screeningcriteria may be implemented to determine when physician peer reviewed is required.</w:t>
      </w:r>
    </w:p>
    <w:p>
      <w:pPr/>
      <w:r>
        <w:rPr>
          <w:shd w:val="clear" w:fill="eeee80"/>
        </w:rPr>
        <w:t xml:space="preserve">8.3.5 Presents a question regarding the competence, character, judgment, ethics, stabilityof personality, including the ability to work cooperatively with others in the provisionof safe patient care, treatment and services, adequate physical and mental health,moral character, or qualification of the member; or8.3.6 Violates these Bylaws, Rules and Regulation of the Medical Staff, the Rules andRegulations of the Departments of the Medical Staff, or Hospital policies, including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2026-10-19T04:51:10+00:00</dcterms:created>
  <dcterms:modified xsi:type="dcterms:W3CDTF">2026-10-19T04:51:10+00:00</dcterms:modified>
</cp:coreProperties>
</file>

<file path=docProps/custom.xml><?xml version="1.0" encoding="utf-8"?>
<Properties xmlns="http://schemas.openxmlformats.org/officeDocument/2006/custom-properties" xmlns:vt="http://schemas.openxmlformats.org/officeDocument/2006/docPropsVTypes"/>
</file>