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 جريمة إلكترونية تستهدف الأفراد ويُطلق عليها أيضاً مسمى جرائم الإنترنت الشخصية والتي تقتضي على الحصول بطريقة غير شرعية على هوية الأفراد الإلكترونية كالبريد الإلكتروني وكلمة السر الخاصة بهم وكما تمتد لتصل إلى انتحال الشخصية الإلكترونية وسحب الصور والملفات المهمة من جهاز الضحية لتهديده بها وإخضاعه للأوامر،</w:t>
      </w:r>
    </w:p>
    <w:p>
      <w:pPr/>
      <w:r>
        <w:rPr/>
        <w:t xml:space="preserve"> كما تُعتبر سرقة الاشتراك أيضاً من الجرائم ضد الأفراد.</w:t>
      </w:r>
    </w:p>
    <w:p>
      <w:pPr/>
      <w:r>
        <w:rPr>
          <w:shd w:val="clear" w:fill="eeee80"/>
        </w:rPr>
        <w:t xml:space="preserve">2 – جريمة إلكترونية تستهدف الملكيّة يستهدف هذا النوع من الجريمة الجهات الحكوميّة والخاصة والشخصية ويركّز على تدمير الملفات الهامة أو البرامج ذات الملكية الخاصة ويكون ذلك عبر برامج ضارة يتم نقلها إلى جهاز المستخدم بعدة طرق من أبرزها الرسائل الإلكترونية .</w:t>
      </w:r>
    </w:p>
    <w:p>
      <w:pPr/>
      <w:r>
        <w:rPr>
          <w:shd w:val="clear" w:fill="eeee80"/>
        </w:rPr>
        <w:t xml:space="preserve">3 – جريمة إلكترونية تستهدف الحكومات وهي هجمات يشنّها القراصنة على المواقع الرسميّة الحكومية وأنظمة شبكاتها والتي تركز جل اهتمامها على القضاء على البنية التحتيّة للموقع أو النظام الشبكي وتدميره بالكامل ومثل هذه الهجمات في الغالب يكون الهدف منها سياسيّاً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2026-10-18T15:08:45+00:00</dcterms:created>
  <dcterms:modified xsi:type="dcterms:W3CDTF">2026-10-18T15:08:45+00:00</dcterms:modified>
</cp:coreProperties>
</file>

<file path=docProps/custom.xml><?xml version="1.0" encoding="utf-8"?>
<Properties xmlns="http://schemas.openxmlformats.org/officeDocument/2006/custom-properties" xmlns:vt="http://schemas.openxmlformats.org/officeDocument/2006/docPropsVTypes"/>
</file>