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Nestlé company history begins in 1866, with the foundation of the Anglo-Swiss Condensed Milk Company. Over 150 years ago, Henri Nestlé and the Page brothers laid the foundations of Nestlé. Henri Nestlé develops a breakthrough baby food in 1867 and in 1905 his company merges with Anglo-Swiss to form what we know as the Nestlé Group.What is the history of the name Nestlé?Henri Nestlé's original Nestlé trademark was based on his family's coat of arms, which featured a single bird on a nest. In time, Nestlé added three young birds being fed by a mother, to help create a link between his name and the products he'd created.</w:t>
      </w:r>
    </w:p>
    <w:p>
      <w:pPr/>
      <w:r>
        <w:rPr>
          <w:shd w:val="clear" w:fill="eeee80"/>
        </w:rPr>
        <w:t xml:space="preserve">Juices and Drinks juices and drinks are made by reconstituting fresh fruit concentrates made from only the highest quality fruit and contain added vitamins to make them even more nutritious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2026-10-20T06:06:27+00:00</dcterms:created>
  <dcterms:modified xsi:type="dcterms:W3CDTF">2026-10-20T06:06:27+00:00</dcterms:modified>
</cp:coreProperties>
</file>

<file path=docProps/custom.xml><?xml version="1.0" encoding="utf-8"?>
<Properties xmlns="http://schemas.openxmlformats.org/officeDocument/2006/custom-properties" xmlns:vt="http://schemas.openxmlformats.org/officeDocument/2006/docPropsVTypes"/>
</file>