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مستشفى حكومي تقديم مسكن أو علاج لامرأة تعاني من ألم متقطع نتيجة حمل خارج الرحم مهدد بالتسمم، رغم تقديمها تحويلًا طبيًا.  طلب مستشفى خاص ٣٠٠٠ ريال لإجراء الإجهاض.  بعد مراجعتها للطوارئ،  أُخبرت  بضرورة العودة صباحًا لاستخدام جهاز متطور، لكن لم يُستخدم الجهاز،  وأُبلغت بعدم قدرة المستشفى على مساعدتها،  مع موعد في العيادات الخارجية بعد ثلاثة أيام. تعاني المرأة من ألم نفسي شديد نتيجة الوضع،  وتعجز عن دفع تكاليف المستشفى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