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3- أهداف الإدارة :</w:t>
      </w:r>
    </w:p>
    <w:p>
      <w:pPr/>
      <w:r>
        <w:rPr>
          <w:shd w:val="clear" w:fill="eeee80"/>
        </w:rPr>
        <w:t xml:space="preserve">من بين الأهداف المرجوة التي ينبغي أن تعمل الإدارة على تحقيقها ما يلي :</w:t>
      </w:r>
    </w:p>
    <w:p>
      <w:pPr/>
      <w:r>
        <w:rPr/>
        <w:t xml:space="preserve">2.3 - القدرة على تسيير الموارد البشرية والمالية والمادية، وتطوير النشاطات المختلفة.4.3 - القدرة على تحرير المراسلات الإدارية من رسائل ومحاضر، الخ،6.3 - القدرة على الإعلام والاتصال والتبليغ والتواصل والتفاعل مع كل مصادرها ومحيطاتها .</w:t>
      </w:r>
    </w:p>
    <w:p>
      <w:pPr/>
      <w:r>
        <w:rPr>
          <w:shd w:val="clear" w:fill="eeee80"/>
        </w:rPr>
        <w:t xml:space="preserve">8.3 التحكم في مسك الملفات والسجلات والوثائق وكل المستندات الخاصة بتسيير شؤون الإدارة والموظفين .</w:t>
      </w:r>
    </w:p>
    <w:p>
      <w:pPr/>
      <w:r>
        <w:rPr>
          <w:shd w:val="clear" w:fill="eeee80"/>
        </w:rPr>
        <w:t xml:space="preserve">وأخيرا يمكن القول أن الإدارة الحديثة في التربية هي التخطيط العلمي المدروس</w:t>
      </w:r>
    </w:p>
    <w:p>
      <w:pPr/>
      <w:r>
        <w:rPr>
          <w:shd w:val="clear" w:fill="eeee80"/>
        </w:rPr>
        <w:t xml:space="preserve"> فالعبرة ليست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2026-09-08T07:36:51+00:00</dcterms:created>
  <dcterms:modified xsi:type="dcterms:W3CDTF">2026-09-08T07:36:51+00:00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