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الواقعي والرمزي: وحدة على الرغم من الاختلاف**</w:t>
      </w:r>
    </w:p>
    <w:p>
      <w:pPr/>
      <w:r>
        <w:rPr>
          <w:shd w:val="clear" w:fill="eeee80"/>
        </w:rPr>
        <w:t xml:space="preserve"> للوهلة الأولى،</w:t>
      </w:r>
    </w:p>
    <w:p>
      <w:pPr/>
      <w:r>
        <w:rPr>
          <w:shd w:val="clear" w:fill="eeee80"/>
        </w:rPr>
        <w:t xml:space="preserve"> لكن هذا ليس صحيحًا.</w:t>
      </w:r>
    </w:p>
    <w:p>
      <w:pPr/>
      <w:r>
        <w:rPr>
          <w:shd w:val="clear" w:fill="eeee80"/>
        </w:rPr>
        <w:t xml:space="preserve"> في المقابل،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كل واقع ملموس يحمل في طياته إمكانية التحول إلى رمز،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2026-09-30T17:52:27+00:00</dcterms:created>
  <dcterms:modified xsi:type="dcterms:W3CDTF">2026-09-30T17:52:27+00:00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