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يدل الإيمان بالغيب على التصديق الجازم بكل الغيبيات التي أخبرنا بها الله سبحانه ورسوله دون شك أو تردد كالإيمان بالله وملائكته وكتبه ورسله واليوم الآخر وما فيه من أحداث والقدر خيره وشره والروح والجنة والنار</w:t>
      </w:r>
    </w:p>
    <w:p>
      <w:pPr/>
      <w:r>
        <w:rPr>
          <w:shd w:val="clear" w:fill="eeee80"/>
        </w:rPr>
        <w:t xml:space="preserve">استنتاج: العلاقة بين الإيمان والغيب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2026-10-11T02:03:52+00:00</dcterms:created>
  <dcterms:modified xsi:type="dcterms:W3CDTF">2026-10-11T02:03:52+00:00</dcterms:modified>
</cp:coreProperties>
</file>

<file path=docProps/custom.xml><?xml version="1.0" encoding="utf-8"?>
<Properties xmlns="http://schemas.openxmlformats.org/officeDocument/2006/custom-properties" xmlns:vt="http://schemas.openxmlformats.org/officeDocument/2006/docPropsVTypes"/>
</file>