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شهدت السنوات التي أعقبت الحرب العالمية الثانية تحوالت في األيديولوجية السياسية والفكرية</w:t>
      </w:r>
    </w:p>
    <w:p>
      <w:pPr/>
      <w:r>
        <w:rPr>
          <w:shd w:val="clear" w:fill="eeee80"/>
        </w:rPr>
        <w:t xml:space="preserve">واإلقتصادية لمعظم دول العالم فقد تفوقت إتجاهات التكتالت والتعاون بين الدول على إتجاهات التناحر</w:t>
      </w:r>
    </w:p>
    <w:p>
      <w:pPr/>
      <w:r>
        <w:rPr>
          <w:shd w:val="clear" w:fill="eeee80"/>
        </w:rPr>
        <w:t xml:space="preserve"> وتفوق مفهوم التصدير على سياسة االكتفاء الذاتي وتفوقت األقمار الصناعية على الحدود</w:t>
      </w:r>
    </w:p>
    <w:p>
      <w:pPr/>
      <w:r>
        <w:rPr/>
        <w:t xml:space="preserve">من السياسية للدول فظهر العالم وكأنه قرية واحدة تتباعد أطرافه وتتقارب أفكاره،</w:t>
      </w:r>
    </w:p>
    <w:p>
      <w:pPr/>
      <w:r>
        <w:rPr>
          <w:shd w:val="clear" w:fill="eeee80"/>
        </w:rPr>
        <w:t xml:space="preserve"> ومن المنطقي أن تؤثر هذه الظواهر على جميع وظائف التنافس وتتكتل دولة</w:t>
      </w:r>
    </w:p>
    <w:p>
      <w:pPr/>
      <w:r>
        <w:rPr/>
        <w:t xml:space="preserve">تأثرا بهذه الظواهر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2026-10-27T13:04:01+00:00</dcterms:created>
  <dcterms:modified xsi:type="dcterms:W3CDTF">2026-10-27T13:04:01+00:00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