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التخفيف – ويهدف هذا المحور إلى تخفيض انبعاثات غازات الدفيئة باستخدام تقنيات مبتكرة وأخرى منخفضة الانبعاثات الكربونية،</w:t>
      </w:r>
    </w:p>
    <w:p>
      <w:pPr/>
      <w:r>
        <w:rPr/>
        <w:t xml:space="preserve"> وتشجيع مبادرات الاستدامة، والمشاريع الاستراتيجية في مجال الطاقة المتجددة في الإمارة، وتسريع مسيرة أبوظبي لتحقيق أهداف الحياد المناخي بحلول عام 2050.التكيف – ويهدف إلى تعزيز مرونة القطاعات الرئيسية، ومن بينها قطاعات الطاقة والصحة والبنية التحتية والبيئة، وتعزيز سرعة استجابتها لمخاطر التغير المناخي والتكيف مع تداعياته المحتملة.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2026-09-01T13:19:01+00:00</dcterms:created>
  <dcterms:modified xsi:type="dcterms:W3CDTF">2026-09-01T13:19:01+00:00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