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والالتزامات البيئية العالمية مع ضمان توفير بيئة اقتصادية مريحة للنمو في جميع القطاعات. ونتيجة للمتغيرات الكبيرة التي شهدها قطاع الطاقة فيما يتعلق بأمن الطاقة العالمي وفي مجال التغير المناخي،  وإلى انخفاض أسعار ونضوج تكنولوجيا الطاقة ذات الانبعاثات المنخفضة والجديدة،  وتحديد الأهداف لعام 2030 والطموحات لعام 2050 للوصول إلى الحياد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