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القسم الحادي العشر:القيم المحددة بموجب التصريحات التقديرية لألطراف وعقود التوثيق المادة 57-55 : يجب ان يكون التصريح والتقدير مفصلين وذلك في جميع الحاالت التي تحصل فيها الرسوم حسب التصريح التقديري لألطراف وإذا لم تكن المبالغ والقيم محدده في العقد او حكم يعطى الحق النسبي او التصاعدي فانه ينبغي على االطراف ان يتالفوا النقص قبل التسجيل بواسطة تصريح تقديري  مصادق في اسفل العقد يقوم الموثقون بعمليه الجرد من اجل تحصين تحصيل رسوم نقل الملكية عن طريق الوفاه وذلك بالتوفر الشروط التالية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2026-09-17T22:26:13+00:00</dcterms:created>
  <dcterms:modified xsi:type="dcterms:W3CDTF">2026-09-17T22:26:13+00:00</dcterms:modified>
</cp:coreProperties>
</file>

<file path=docProps/custom.xml><?xml version="1.0" encoding="utf-8"?>
<Properties xmlns="http://schemas.openxmlformats.org/officeDocument/2006/custom-properties" xmlns:vt="http://schemas.openxmlformats.org/officeDocument/2006/docPropsVTypes"/>
</file>