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افادت المندوبية السامية للتخطيط بأن نسبة الفقر متعدد الأبعاد بالمغرب سجلت تراجعا كبيرا،  من 40 في المئة في سنة 2001 إلى 9, وأوضحت المندوبية في مذكرة حول “تطور معيشة السكان على ضوء نتائج البحث الوطني حول مستوى معيشة الأسر لسنة 2022″،  أن هذا التطور الإيجابي يعزى بشكل رئيسي إلى الانخفاض الحاد في الفقر متعدد الأبعاد في الوسط القروي على مدى العقدين الماضيين من 73, 4 في المئة سنة 2001 إلى 19, وأضاف المصدر ذاته أنه في الوسط الحضري، 8 في المئة سنة 2001 إلى 2,  ارتفع مستوى الفقر متعدد الأبعاد بشكل طفيف ليبلغ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