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١-٤) ما العوامل التي تحدد أشكال الفعل الجمعي وحدته؟</w:t>
      </w:r>
    </w:p>
    <w:p>
      <w:pPr/>
      <w:r>
        <w:rPr>
          <w:shd w:val="clear" w:fill="eeee80"/>
        </w:rPr>
        <w:t xml:space="preserve"> ما كادم (۱۹۸۲).</w:t>
      </w:r>
    </w:p>
    <w:p>
      <w:pPr/>
      <w:r>
        <w:rPr>
          <w:shd w:val="clear" w:fill="eeee80"/>
        </w:rPr>
        <w:t xml:space="preserve"> يشترك هذا المنهج مع نظرية سنة الموارد في نظرته العقلانية للفعل - والتقارب بينهما في تلك النقطة قوي للغاية،</w:t>
      </w:r>
    </w:p>
    <w:p>
      <w:pPr/>
      <w:r>
        <w:rPr>
          <w:shd w:val="clear" w:fill="eeee80"/>
        </w:rPr>
        <w:t xml:space="preserve"> حتى إن الباحثين أحيانًا ما يتعاملون مع المنهجين كمنظور موحد – غير أنه يعير اهتمامًا أكثر منهجية إلى البيئة السياسية والمؤسسية التي تعمل في ظلها الحركات الاجتماعية.</w:t>
      </w:r>
    </w:p>
    <w:p>
      <w:pPr/>
      <w:r>
        <w:rPr>
          <w:shd w:val="clear" w:fill="eeee80"/>
        </w:rPr>
        <w:t xml:space="preserve">٣٥</w:t>
      </w:r>
    </w:p>
    <w:p>
      <w:pPr/>
      <w:r>
        <w:rPr>
          <w:shd w:val="clear" w:fill="eeee80"/>
        </w:rPr>
        <w:t xml:space="preserve">35/</w:t>
      </w:r>
    </w:p>
    <w:p>
      <w:pPr/>
      <w:r>
        <w:rPr>
          <w:shd w:val="clear" w:fill="eeee80"/>
        </w:rPr>
        <w:t xml:space="preserve">الحركات الاجتماعية</w:t>
      </w:r>
    </w:p>
    <w:p>
      <w:pPr/>
      <w:r>
        <w:rPr>
          <w:shd w:val="clear" w:fill="eeee80"/>
        </w:rPr>
        <w:t xml:space="preserve">وينصب التركيز الأساسي لنظريات العملية السياسية على العلاقة بين الجهات السياسية المؤسسية الفاعلة والاحتجاج في مسعاها لتحدّي نظام سياسي معين،</w:t>
      </w:r>
    </w:p>
    <w:p>
      <w:pPr/>
      <w:r>
        <w:rPr>
          <w:shd w:val="clear" w:fill="eeee80"/>
        </w:rPr>
        <w:t xml:space="preserve"> تتفاعل الحركات الاجتماعية مع الفاعلين الذين يتمتعون بمكانة راسخة في الأوساط السياسية.</w:t>
      </w:r>
    </w:p>
    <w:p>
      <w:pPr/>
      <w:r>
        <w:rPr>
          <w:shd w:val="clear" w:fill="eeee80"/>
        </w:rPr>
        <w:t xml:space="preserve"> يعتبر مفهوم هيكل الفرص السياسية هو الأنجح في بيان خصائص البيئة الخارجية ذات الصلة بنشأة الحركات الاجتماعية وتطورها.</w:t>
      </w:r>
    </w:p>
    <w:p>
      <w:pPr/>
      <w:r>
        <w:rPr>
          <w:shd w:val="clear" w:fill="eeee80"/>
        </w:rPr>
        <w:t xml:space="preserve"> استعان بيتر أيسنجر (۱۹۷۳) بهذا المفهوم في مقارنة عقدها بين النتائج التي أحرزتها حركات احتجاجية في مدن أمريكية مختلفة مركزا على درجة انفتاح (أو انغلاق النظام السياسي المحلي.</w:t>
      </w:r>
    </w:p>
    <w:p>
      <w:pPr/>
      <w:r>
        <w:rPr>
          <w:shd w:val="clear" w:fill="eeee80"/>
        </w:rPr>
        <w:t xml:space="preserve"> وأشارت مجموعة من الأبحاث التجريبية الأخرى إلى عدد من المتغيرات الجديدة المهمة،</w:t>
      </w:r>
    </w:p>
    <w:p>
      <w:pPr/>
      <w:r>
        <w:rPr>
          <w:shd w:val="clear" w:fill="eeee80"/>
        </w:rPr>
        <w:t xml:space="preserve"> كانعدام الاستقرار الانتخابي بيفن وكلاورد (۱۹۷۷)،</w:t>
      </w:r>
    </w:p>
    <w:p>
      <w:pPr/>
      <w:r>
        <w:rPr>
          <w:shd w:val="clear" w:fill="eeee80"/>
        </w:rPr>
        <w:t xml:space="preserve"> وتوافر الحلفاء المؤثرين (جامسون ۱۹۹۰ [١٩٧٥])،</w:t>
      </w:r>
    </w:p>
    <w:p>
      <w:pPr/>
      <w:r>
        <w:rPr>
          <w:shd w:val="clear" w:fill="eeee80"/>
        </w:rPr>
        <w:t xml:space="preserve"> وتسامح النخبة حيال النشاط الاحتجاجي جينكينز وبيرو (۱۹۷۷).</w:t>
      </w:r>
    </w:p>
    <w:p>
      <w:pPr/>
      <w:r>
        <w:rPr>
          <w:shd w:val="clear" w:fill="eeee80"/>
        </w:rPr>
        <w:t xml:space="preserve"> نجح سيدني تارو في دمج تلك الملاحظات التجريبية في إطار نظري من أجل إنجاز دراسته للدورات الاحتجاجية في إيطاليا،</w:t>
      </w:r>
    </w:p>
    <w:p>
      <w:pPr/>
      <w:r>
        <w:rPr>
          <w:shd w:val="clear" w:fill="eeee80"/>
        </w:rPr>
        <w:t xml:space="preserve"> مسلطا الضوء على درجة سهولة المشاركة السياسية أو صعوبتها،</w:t>
      </w:r>
    </w:p>
    <w:p>
      <w:pPr/>
      <w:r>
        <w:rPr>
          <w:shd w:val="clear" w:fill="eeee80"/>
        </w:rPr>
        <w:t xml:space="preserve"> ودرجة استقرار الانحيازات السياسية أو عدم استقرارها،</w:t>
      </w:r>
    </w:p>
    <w:p>
      <w:pPr/>
      <w:r>
        <w:rPr>
          <w:shd w:val="clear" w:fill="eeee80"/>
        </w:rPr>
        <w:t xml:space="preserve"> وتوافر الحلفاء المحتملين وموقفهم الاستراتيجي</w:t>
      </w:r>
    </w:p>
    <w:p>
      <w:pPr/>
      <w:r>
        <w:rPr>
          <w:shd w:val="clear" w:fill="eeee80"/>
        </w:rPr>
        <w:t xml:space="preserve"> والصراعات السياسية بين النخب وداخلها (تارو ۱۹۸۹ : ۳۵).</w:t>
      </w:r>
    </w:p>
    <w:p>
      <w:pPr/>
      <w:r>
        <w:rPr>
          <w:shd w:val="clear" w:fill="eeee80"/>
        </w:rPr>
        <w:t xml:space="preserve"> أضيفت إلى المتغيرات السابقة مجموعة أخرى مرتبطة بالظروف المؤسسية المنظمة العمليتي ترتيب الأولويات وصنع القرار،</w:t>
      </w:r>
    </w:p>
    <w:p>
      <w:pPr/>
      <w:r>
        <w:rPr>
          <w:shd w:val="clear" w:fill="eeee80"/>
        </w:rPr>
        <w:t xml:space="preserve"> كما تناول الباحثون الخصائص المرتبطة بالتقسيم الوظيفي للسلطة واللامركزية الجغرافية بالتحليل؛</w:t>
      </w:r>
    </w:p>
    <w:p>
      <w:pPr/>
      <w:r>
        <w:rPr>
          <w:shd w:val="clear" w:fill="eeee80"/>
        </w:rPr>
        <w:t xml:space="preserve"> من أجل فهم أصول النشاط الاحتجاجي والأشكال التي اتخذها.</w:t>
      </w:r>
    </w:p>
    <w:p>
      <w:pPr/>
      <w:r>
        <w:rPr/>
        <w:t xml:space="preserve"> كان هدف الباحثين في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2026-10-20T07:58:24+00:00</dcterms:created>
  <dcterms:modified xsi:type="dcterms:W3CDTF">2026-10-20T07:58:24+00:00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