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الأهداف العمود الفقري للمنظمة بصفة عامة،</w:t>
      </w:r>
    </w:p>
    <w:p>
      <w:pPr/>
      <w:r>
        <w:rPr>
          <w:shd w:val="clear" w:fill="eeee80"/>
        </w:rPr>
        <w:t xml:space="preserve"> وللتخطيط والخطط بصفة خاصة،</w:t>
      </w:r>
    </w:p>
    <w:p>
      <w:pPr/>
      <w:r>
        <w:rPr>
          <w:shd w:val="clear" w:fill="eeee80"/>
        </w:rPr>
        <w:t xml:space="preserve"> ولا تستطيع المنظمة أن تسير قدماً دون تحديد</w:t>
      </w:r>
    </w:p>
    <w:p>
      <w:pPr/>
      <w:r>
        <w:rPr/>
        <w:t xml:space="preserve">الأهداف المراد تحقيقها مستقبلاً،</w:t>
      </w:r>
    </w:p>
    <w:p>
      <w:pPr/>
      <w:r>
        <w:rPr>
          <w:shd w:val="clear" w:fill="eeee80"/>
        </w:rPr>
        <w:t xml:space="preserve"> وتنبثق الأهداف أساساً من الأغراض التي قامت من أجلها المنظمة والطموحات والأماني التي ترسمها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2026-10-16T23:02:32+00:00</dcterms:created>
  <dcterms:modified xsi:type="dcterms:W3CDTF">2026-10-16T23:02:32+00:00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