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الأصل أن يتم تعيين المحل صراحة،</w:t>
      </w:r>
    </w:p>
    <w:p>
      <w:pPr/>
      <w:r>
        <w:rPr>
          <w:shd w:val="clear" w:fill="eeee80"/>
        </w:rPr>
        <w:t xml:space="preserve"> و تختلف طريقة التعيين بحسب نوع المحل سواء كان عمل أو شيء.</w:t>
      </w:r>
    </w:p>
    <w:p>
      <w:pPr/>
      <w:r>
        <w:rPr>
          <w:shd w:val="clear" w:fill="eeee80"/>
        </w:rPr>
        <w:t xml:space="preserve"> فإذا كان محل الالتزام عملا أو امتناعا عن عمل وجب تعيين ماهيته و طبيعته و مداه كتعهد صانع بصناعة شيء معين خلال مدة معينة و بمواصفات معينة,</w:t>
      </w:r>
    </w:p>
    <w:p>
      <w:pPr/>
      <w:r>
        <w:rPr>
          <w:shd w:val="clear" w:fill="eeee80"/>
        </w:rPr>
        <w:t xml:space="preserve"> و إذا كان العمل ينصب على شيء من الأشياء فلا بد من تعيينه،</w:t>
      </w:r>
    </w:p>
    <w:p>
      <w:pPr/>
      <w:r>
        <w:rPr>
          <w:shd w:val="clear" w:fill="eeee80"/>
        </w:rPr>
        <w:t xml:space="preserve"> كالتزام البائع بنقل ملكية المبيع فإن تعيين ماهية الشيء يختلف باختلاف طبيعته فإذا كان قيميا فإن تعيينه يكون بالذات أي بتعيين الأوصاف الذاتية التي تميزه عن غيره،</w:t>
      </w:r>
    </w:p>
    <w:p>
      <w:pPr/>
      <w:r>
        <w:rPr/>
        <w:t xml:space="preserve"> فالأراضي مثلا يكون تعيينها ببيان موقعها و حدودها و مساحتها، أما الأشياء المثلية فيتم تعيينها ببيان نوعها و مقدارها و درجة جودتها.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2026-09-08T14:48:18+00:00</dcterms:created>
  <dcterms:modified xsi:type="dcterms:W3CDTF">2026-09-08T14:48:18+00:00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