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تؤثر سرعة التوصيل وسلامة التغليف ودقة تجهيز الطلب في رضا العميل. وتشمل إدارة الطلبات تأكيد الشراء،</w:t>
      </w:r>
    </w:p>
    <w:p>
      <w:pPr/>
      <w:r>
        <w:rPr>
          <w:shd w:val="clear" w:fill="eeee80"/>
        </w:rPr>
        <w:t xml:space="preserve"> والتعامل مع الطلبات المتأخرة أو التالفة.</w:t>
      </w:r>
    </w:p>
    <w:p>
      <w:pPr/>
      <w:r>
        <w:rPr/>
        <w:t xml:space="preserve">ويحتاج المتجر إلى اختيار شركاء توصيل مناسبين وتوضيح رسوم الشحن والمدة المتوقعة والمناطق التي يغطيها.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2026-10-25T19:08:50+00:00</dcterms:created>
  <dcterms:modified xsi:type="dcterms:W3CDTF">2026-10-25T19:08:50+00:00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