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أخلاق المهنة جوهرية في مختلف المجالات، فهي تؤثر مباشرة على بيئة العمل والتزام الأفراد بسلوك مهني سليم،  متجاوزة المعرفة والمهارات لتشمل معايير أخلاقية وقيمية تحكم سلوك الممارسين.  أهميتها تكمن في تمييز العمل المسؤول عن الأداء الآلي، وهي ضرورية أكثر اليوم مع تعقيد المؤسسات وتطور التكنولوجيا.  غيابها يؤثر سلبًا على سمعة المؤسسة وثقة العملاء، بينما ترسيخها يُعزز بيئة عمل إيجابية.  لذا، يجب إدماج البعد الأخلاقي في السياسات والدورات التدريبية لترسيخ قيم النزاهة والاحترام، وهذا الفصل الأول يهدف إلى توضيح مفهوم أخلاق المهنة وخصائصها وأهميتها في بيئة العمل وأهدافها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