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نقص المهارات الإدارية القائمة على المعرفة والتي تتطلبها الإدارة الإلكترونية بصفة عامة،</w:t>
      </w:r>
    </w:p>
    <w:p>
      <w:pPr/>
      <w:r>
        <w:rPr>
          <w:shd w:val="clear" w:fill="eeee80"/>
        </w:rPr>
        <w:t xml:space="preserve"> والتجارة  الإلكترونية بصفة خاصة؛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2026-10-09T01:44:09+00:00</dcterms:created>
  <dcterms:modified xsi:type="dcterms:W3CDTF">2026-10-09T01:44:09+00:00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