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يتخذ الإبداع التسويقي أشكالًا مختلفة بحسب طبيعة الجمهور المستهدف.</w:t>
      </w:r>
    </w:p>
    <w:p>
      <w:pPr/>
      <w:r>
        <w:rPr>
          <w:shd w:val="clear" w:fill="eeee80"/>
        </w:rPr>
        <w:t xml:space="preserve"> فعندما يكون التركيز على المستهلك النهائي،</w:t>
      </w:r>
    </w:p>
    <w:p>
      <w:pPr/>
      <w:r>
        <w:rPr>
          <w:shd w:val="clear" w:fill="eeee80"/>
        </w:rPr>
        <w:t xml:space="preserve"> تميل الحملات التسويقية إلى مخاطبة المشاعر والدوافع العاطفية بدرجة أكبر من اعتمادها على المنطق.</w:t>
      </w:r>
    </w:p>
    <w:p>
      <w:pPr/>
      <w:r>
        <w:rPr>
          <w:shd w:val="clear" w:fill="eeee80"/>
        </w:rPr>
        <w:t xml:space="preserve"> عندما يُوجّه التسويق إلى المستثمرين أو الجهات الصناعية،</w:t>
      </w:r>
    </w:p>
    <w:p>
      <w:pPr/>
      <w:r>
        <w:rPr>
          <w:shd w:val="clear" w:fill="eeee80"/>
        </w:rPr>
        <w:t xml:space="preserve"> يصبح العقل والمنطق هما الأساس في الرسالة التسويقية.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2026-08-28T07:50:24+00:00</dcterms:created>
  <dcterms:modified xsi:type="dcterms:W3CDTF">2026-08-28T07:50:24+00:00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