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 Stefano commenca a naviguer, temoignant de qualites maritimes, deresistance a la fatigue, d'intrepidite.Il b bourlinguait, bourlinguait sans treve, etdans le sillage deson bateau, jour et nuit, par beau tempstrainait derriere lui le K. C'etait la sa malediction et sa condamnation, il le savasmais justement pour cette raison peut-etre, il ne trouvait pas la force de s'esou par gros grain, idetacher.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2026-10-19T01:38:16+00:00</dcterms:created>
  <dcterms:modified xsi:type="dcterms:W3CDTF">2026-10-19T01:38:16+00:00</dcterms:modified>
</cp:coreProperties>
</file>

<file path=docProps/custom.xml><?xml version="1.0" encoding="utf-8"?>
<Properties xmlns="http://schemas.openxmlformats.org/officeDocument/2006/custom-properties" xmlns:vt="http://schemas.openxmlformats.org/officeDocument/2006/docPropsVTypes"/>
</file>