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مشكلة التلوث الهوائي، مُعرّفًا إياه على أنه تلوث ناتج عن انبعاثات ضارة من أنشطة بشرية كالزراعة والصناعة والنقل.  يُحدد البحث أسباب التلوث، متمثلة في المصانع، وسائل النقل، الزراعة، الأنشطة المنزلية والحرائق،  مع شرح لأنواع الملوثات كالجسيمات الدقيقة، أول أكسيد الكربون، أكاسيد النيتروجين، وثاني أكسيد الكبريت والأوزون.  كما يُبرز البحث آثارًا صحية خطيرة كأمراض الجهاز التنفسي والقلب والسرطان، بالإضافة إلى آثار بيئية كالضرر بالمحاصيل، تغير المناخ، والأمطار الحمضية.  أخيرًا، يقترح البحث حلولًا للحد من هذه المشكلة، تشمل التحول للطاقة المتجددة، تحسين وسائل النقل، تطوير العمليات الصناعية،  والتشجير.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