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Addressing the problem of reject sample requires cooperative engagement from all stakeholders, including healthcare providers and laboratories.</w:t>
      </w:r>
    </w:p>
    <w:p>
      <w:pPr/>
      <w:r>
        <w:rPr>
          <w:shd w:val="clear" w:fill="eeee80"/>
        </w:rPr>
        <w:t xml:space="preserve">Here are multiple solutions for implementation.</w:t>
      </w:r>
    </w:p>
    <w:p>
      <w:pPr/>
      <w:r>
        <w:rPr/>
        <w:t xml:space="preserve">Increase the number of employees as much as possible and train them.</w:t>
      </w:r>
    </w:p>
    <w:p>
      <w:pPr/>
      <w:r>
        <w:rPr>
          <w:shd w:val="clear" w:fill="eeee80"/>
        </w:rPr>
        <w:t xml:space="preserve">Training personnel on proper blood collection techniques to ensure adequate mixing of blood and EDTA.</w:t>
      </w:r>
    </w:p>
    <w:p>
      <w:pPr/>
      <w:r>
        <w:rPr>
          <w:shd w:val="clear" w:fill="eeee80"/>
        </w:rPr>
        <w:t xml:space="preserve">Implementing a clear protocol for timely processing of blood samples.</w:t>
      </w:r>
    </w:p>
    <w:p>
      <w:pPr/>
      <w:r>
        <w:rPr>
          <w:shd w:val="clear" w:fill="eeee80"/>
        </w:rPr>
        <w:t xml:space="preserve">Using appropriate blood collection tubes designed to minimize the risk of clot formation.</w:t>
      </w:r>
    </w:p>
    <w:p>
      <w:pPr/>
      <w:r>
        <w:rPr>
          <w:shd w:val="clear" w:fill="eeee80"/>
        </w:rPr>
        <w:t xml:space="preserve">Regularly monitoring and maintaining equipment to ensure optimal performance during sample analysis.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2026-08-21T20:53:41+00:00</dcterms:created>
  <dcterms:modified xsi:type="dcterms:W3CDTF">2026-08-21T20:53:41+00:00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