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دراسة المشاريع المقترحة من الجوانب الهندسية واعتمادها في مراحلها الأولية. تلتزم الإدارة الهندسية عند التخطيط لأي مشروع بالاعتبارات البيئية المنصوص عليها في قانون حماية البيئة، ٦-اعتماد تسوية حسابات المقاولين والاستشاريين وتحويلها للإدارة المالية. ٧-إعداد التقارير الدورية والسنوية واقتراح سبل تطوير وتحسين الخدمات الهندسية.  في مراحل الاشراف والرقابة الميدانية أثناء التنفيذ،  وعدم استلام الأعمال أو صرف اي من المستحقات إلا بعد التحقق من الالتزام البيئي من قبل المقاول،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